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17D8B" w14:textId="2327B142" w:rsidR="004F118B" w:rsidRDefault="004F118B" w:rsidP="004F118B">
      <w:pPr>
        <w:tabs>
          <w:tab w:val="left" w:pos="1985"/>
        </w:tabs>
        <w:spacing w:after="0"/>
        <w:ind w:left="2040" w:hangingChars="850" w:hanging="2040"/>
        <w:rPr>
          <w:rFonts w:ascii="Arial" w:eastAsia="Malgun Gothic" w:hAnsi="Arial"/>
          <w:b/>
          <w:sz w:val="24"/>
          <w:lang w:eastAsia="en-US"/>
        </w:rPr>
      </w:pPr>
      <w:r w:rsidRPr="001E492F">
        <w:rPr>
          <w:rFonts w:ascii="Arial" w:eastAsia="Malgun Gothic" w:hAnsi="Arial"/>
          <w:b/>
          <w:sz w:val="24"/>
          <w:lang w:eastAsia="en-US"/>
        </w:rPr>
        <w:t>3GPP TSG-RAN WG2 Meeting #</w:t>
      </w:r>
      <w:r>
        <w:rPr>
          <w:rFonts w:ascii="Arial" w:eastAsia="Malgun Gothic" w:hAnsi="Arial"/>
          <w:b/>
          <w:sz w:val="24"/>
          <w:lang w:eastAsia="en-US"/>
        </w:rPr>
        <w:t>128</w:t>
      </w:r>
      <w:r>
        <w:rPr>
          <w:rFonts w:ascii="Arial" w:eastAsia="Malgun Gothic" w:hAnsi="Arial"/>
          <w:b/>
          <w:sz w:val="24"/>
          <w:lang w:eastAsia="en-US"/>
        </w:rPr>
        <w:tab/>
      </w:r>
      <w:r>
        <w:rPr>
          <w:rFonts w:ascii="Arial" w:eastAsia="Malgun Gothic" w:hAnsi="Arial"/>
          <w:b/>
          <w:sz w:val="24"/>
          <w:lang w:eastAsia="en-US"/>
        </w:rPr>
        <w:tab/>
      </w:r>
      <w:r>
        <w:rPr>
          <w:rFonts w:ascii="Arial" w:eastAsia="Malgun Gothic" w:hAnsi="Arial"/>
          <w:b/>
          <w:sz w:val="24"/>
          <w:lang w:eastAsia="en-US"/>
        </w:rPr>
        <w:tab/>
      </w:r>
      <w:r>
        <w:rPr>
          <w:rFonts w:ascii="Arial" w:eastAsia="Malgun Gothic" w:hAnsi="Arial"/>
          <w:b/>
          <w:sz w:val="24"/>
          <w:lang w:eastAsia="en-US"/>
        </w:rPr>
        <w:tab/>
      </w:r>
      <w:r w:rsidRPr="001E492F">
        <w:rPr>
          <w:rFonts w:ascii="Arial" w:eastAsia="Malgun Gothic" w:hAnsi="Arial"/>
          <w:b/>
          <w:sz w:val="24"/>
          <w:lang w:eastAsia="en-US"/>
        </w:rPr>
        <w:tab/>
      </w:r>
      <w:r w:rsidR="006669D7">
        <w:rPr>
          <w:rFonts w:ascii="Arial" w:eastAsia="Malgun Gothic" w:hAnsi="Arial"/>
          <w:b/>
          <w:sz w:val="24"/>
          <w:lang w:eastAsia="en-US"/>
        </w:rPr>
        <w:tab/>
      </w:r>
      <w:r w:rsidR="00804AF5" w:rsidRPr="00804AF5">
        <w:rPr>
          <w:rFonts w:ascii="Arial" w:eastAsia="Malgun Gothic" w:hAnsi="Arial"/>
          <w:b/>
          <w:sz w:val="24"/>
          <w:lang w:eastAsia="en-US"/>
        </w:rPr>
        <w:t>R2-2409831</w:t>
      </w:r>
    </w:p>
    <w:p w14:paraId="607A2917" w14:textId="77777777" w:rsidR="004F118B" w:rsidRDefault="004F118B" w:rsidP="004F118B">
      <w:pPr>
        <w:pStyle w:val="CRCoverPage"/>
        <w:tabs>
          <w:tab w:val="left" w:pos="1985"/>
        </w:tabs>
        <w:spacing w:after="0"/>
        <w:rPr>
          <w:rFonts w:eastAsia="Malgun Gothic" w:cstheme="minorBidi"/>
          <w:b/>
          <w:sz w:val="24"/>
          <w:szCs w:val="22"/>
          <w:lang w:val="en-US"/>
        </w:rPr>
      </w:pPr>
      <w:r w:rsidRPr="00DB736B">
        <w:rPr>
          <w:rFonts w:eastAsia="Malgun Gothic" w:cstheme="minorBidi"/>
          <w:b/>
          <w:sz w:val="24"/>
          <w:szCs w:val="22"/>
          <w:lang w:val="en-US"/>
        </w:rPr>
        <w:t>Orlando, USA, Nov 18th – 22nd, 2024</w:t>
      </w:r>
    </w:p>
    <w:p w14:paraId="6745657B" w14:textId="77777777" w:rsidR="004F118B" w:rsidRDefault="004F118B" w:rsidP="00C13A61">
      <w:pPr>
        <w:pStyle w:val="CRCoverPage"/>
        <w:tabs>
          <w:tab w:val="left" w:pos="1985"/>
        </w:tabs>
        <w:spacing w:after="0"/>
        <w:rPr>
          <w:rFonts w:asciiTheme="minorHAnsi" w:hAnsiTheme="minorHAnsi" w:cstheme="minorHAnsi"/>
          <w:b/>
          <w:bCs/>
          <w:sz w:val="28"/>
        </w:rPr>
      </w:pPr>
    </w:p>
    <w:p w14:paraId="49FF7107" w14:textId="49875143" w:rsidR="00C13A61" w:rsidRPr="003C2E7A" w:rsidRDefault="00C13A61" w:rsidP="00C13A61">
      <w:pPr>
        <w:pStyle w:val="CRCoverPage"/>
        <w:tabs>
          <w:tab w:val="left" w:pos="1985"/>
        </w:tabs>
        <w:spacing w:after="0"/>
        <w:rPr>
          <w:rFonts w:asciiTheme="minorHAnsi" w:hAnsiTheme="minorHAnsi" w:cstheme="minorHAnsi"/>
          <w:b/>
          <w:bCs/>
          <w:sz w:val="28"/>
          <w:lang w:eastAsia="ja-JP"/>
        </w:rPr>
      </w:pPr>
      <w:r w:rsidRPr="003C2E7A">
        <w:rPr>
          <w:rFonts w:asciiTheme="minorHAnsi" w:hAnsiTheme="minorHAnsi" w:cstheme="minorHAnsi"/>
          <w:b/>
          <w:bCs/>
          <w:sz w:val="28"/>
        </w:rPr>
        <w:t>Agenda item:</w:t>
      </w:r>
      <w:r w:rsidRPr="003C2E7A">
        <w:rPr>
          <w:rFonts w:asciiTheme="minorHAnsi" w:hAnsiTheme="minorHAnsi" w:cstheme="minorHAnsi"/>
          <w:b/>
          <w:bCs/>
          <w:sz w:val="28"/>
        </w:rPr>
        <w:tab/>
        <w:t>8.1.2.2</w:t>
      </w:r>
    </w:p>
    <w:p w14:paraId="679FFB06" w14:textId="77777777" w:rsidR="00C13A61" w:rsidRPr="003C2E7A" w:rsidRDefault="00C13A61" w:rsidP="00C13A61">
      <w:pPr>
        <w:tabs>
          <w:tab w:val="left" w:pos="1985"/>
        </w:tabs>
        <w:spacing w:after="0"/>
        <w:ind w:left="1985" w:hanging="1985"/>
        <w:rPr>
          <w:rFonts w:eastAsia="SimSun" w:cstheme="minorHAnsi"/>
          <w:b/>
          <w:bCs/>
          <w:sz w:val="28"/>
          <w:szCs w:val="20"/>
          <w:lang w:val="en-GB" w:eastAsia="en-US"/>
        </w:rPr>
      </w:pPr>
      <w:r w:rsidRPr="003C2E7A">
        <w:rPr>
          <w:rFonts w:eastAsia="SimSun" w:cstheme="minorHAnsi"/>
          <w:b/>
          <w:bCs/>
          <w:sz w:val="28"/>
          <w:szCs w:val="20"/>
          <w:lang w:val="en-GB" w:eastAsia="en-US"/>
        </w:rPr>
        <w:t>Source:</w:t>
      </w:r>
      <w:r w:rsidRPr="003C2E7A">
        <w:rPr>
          <w:rFonts w:eastAsia="SimSun" w:cstheme="minorHAnsi"/>
          <w:b/>
          <w:bCs/>
          <w:sz w:val="28"/>
          <w:szCs w:val="20"/>
          <w:lang w:val="en-GB" w:eastAsia="en-US"/>
        </w:rPr>
        <w:tab/>
        <w:t>Samsung</w:t>
      </w:r>
    </w:p>
    <w:p w14:paraId="7F6DFB14" w14:textId="1B372C90" w:rsidR="00C13A61" w:rsidRPr="003C2E7A" w:rsidRDefault="00C13A61" w:rsidP="00C13A61">
      <w:pPr>
        <w:tabs>
          <w:tab w:val="left" w:pos="1985"/>
        </w:tabs>
        <w:spacing w:after="0"/>
        <w:ind w:left="1985" w:hanging="1985"/>
        <w:rPr>
          <w:rFonts w:eastAsia="SimSun" w:cstheme="minorHAnsi"/>
          <w:b/>
          <w:bCs/>
          <w:sz w:val="28"/>
          <w:szCs w:val="20"/>
          <w:lang w:val="en-GB" w:eastAsia="en-US"/>
        </w:rPr>
      </w:pPr>
      <w:r w:rsidRPr="003C2E7A">
        <w:rPr>
          <w:rFonts w:eastAsia="SimSun" w:cstheme="minorHAnsi"/>
          <w:b/>
          <w:bCs/>
          <w:sz w:val="28"/>
          <w:szCs w:val="20"/>
          <w:lang w:val="en-GB" w:eastAsia="en-US"/>
        </w:rPr>
        <w:t>Title:</w:t>
      </w:r>
      <w:r w:rsidRPr="003C2E7A">
        <w:rPr>
          <w:rFonts w:eastAsia="SimSun" w:cstheme="minorHAnsi"/>
          <w:b/>
          <w:bCs/>
          <w:sz w:val="28"/>
          <w:szCs w:val="20"/>
          <w:lang w:val="en-GB" w:eastAsia="en-US"/>
        </w:rPr>
        <w:tab/>
      </w:r>
      <w:r w:rsidR="00DC6E03" w:rsidRPr="003C2E7A">
        <w:rPr>
          <w:rFonts w:eastAsia="SimSun" w:cstheme="minorHAnsi"/>
          <w:b/>
          <w:bCs/>
          <w:sz w:val="28"/>
          <w:szCs w:val="20"/>
          <w:lang w:val="en-GB" w:eastAsia="en-US"/>
        </w:rPr>
        <w:t>Discussion on LCM for UE-sided model for beam management</w:t>
      </w:r>
    </w:p>
    <w:p w14:paraId="39462FAB" w14:textId="77777777" w:rsidR="00C13A61" w:rsidRPr="003C2E7A" w:rsidRDefault="00C13A61" w:rsidP="00C13A61">
      <w:pPr>
        <w:pBdr>
          <w:bottom w:val="single" w:sz="6" w:space="1" w:color="auto"/>
        </w:pBdr>
        <w:tabs>
          <w:tab w:val="left" w:pos="1985"/>
        </w:tabs>
        <w:ind w:left="1985" w:hanging="1985"/>
        <w:rPr>
          <w:rFonts w:eastAsia="SimSun" w:cstheme="minorHAnsi"/>
          <w:b/>
          <w:bCs/>
          <w:sz w:val="28"/>
          <w:szCs w:val="20"/>
          <w:lang w:val="en-GB" w:eastAsia="en-US"/>
        </w:rPr>
      </w:pPr>
      <w:r w:rsidRPr="003C2E7A">
        <w:rPr>
          <w:rFonts w:eastAsia="SimSun" w:cstheme="minorHAnsi"/>
          <w:b/>
          <w:bCs/>
          <w:sz w:val="28"/>
          <w:szCs w:val="20"/>
          <w:lang w:val="en-GB" w:eastAsia="en-US"/>
        </w:rPr>
        <w:t>Document for:</w:t>
      </w:r>
      <w:r w:rsidRPr="003C2E7A">
        <w:rPr>
          <w:rFonts w:eastAsia="SimSun" w:cstheme="minorHAnsi"/>
          <w:b/>
          <w:bCs/>
          <w:sz w:val="28"/>
          <w:szCs w:val="20"/>
          <w:lang w:val="en-GB" w:eastAsia="en-US"/>
        </w:rPr>
        <w:tab/>
        <w:t>Discussion and Decision</w:t>
      </w:r>
    </w:p>
    <w:p w14:paraId="549F8145" w14:textId="77777777" w:rsidR="00C13A61" w:rsidRDefault="00C13A61" w:rsidP="009F40AD">
      <w:pPr>
        <w:pStyle w:val="Heading1"/>
        <w:numPr>
          <w:ilvl w:val="0"/>
          <w:numId w:val="3"/>
        </w:numPr>
      </w:pPr>
      <w:r>
        <w:t>Introduction</w:t>
      </w:r>
    </w:p>
    <w:p w14:paraId="062F1F38" w14:textId="68967E36" w:rsidR="00C13A61" w:rsidRDefault="00C13A61" w:rsidP="00C13A61">
      <w:r>
        <w:t xml:space="preserve">In this contribution, </w:t>
      </w:r>
      <w:r w:rsidR="005F31AF">
        <w:t xml:space="preserve">we discuss remaining </w:t>
      </w:r>
      <w:r w:rsidR="004F118B">
        <w:t>issues/</w:t>
      </w:r>
      <w:r w:rsidR="005F31AF">
        <w:t>aspects to progress this topic</w:t>
      </w:r>
      <w:r w:rsidR="004F118B">
        <w:t xml:space="preserve"> considering RAN1 status. </w:t>
      </w:r>
    </w:p>
    <w:p w14:paraId="74A656F2" w14:textId="5A2BE9F4" w:rsidR="00757416" w:rsidRDefault="00757416" w:rsidP="00757416">
      <w:pPr>
        <w:pStyle w:val="Heading1"/>
        <w:numPr>
          <w:ilvl w:val="0"/>
          <w:numId w:val="3"/>
        </w:numPr>
      </w:pPr>
      <w:r>
        <w:t xml:space="preserve">RAN1 </w:t>
      </w:r>
      <w:r w:rsidR="004F118B">
        <w:t>status on RAN2 LS</w:t>
      </w:r>
    </w:p>
    <w:p w14:paraId="6A542DB0" w14:textId="6F338F32" w:rsidR="00757416" w:rsidRDefault="001C2E57" w:rsidP="00757416">
      <w:r>
        <w:t xml:space="preserve">In RAN2#127, RAN2 sent an LS to RAN1 to provide agreements and ask specific questions [1]. </w:t>
      </w:r>
      <w:r w:rsidR="00757416">
        <w:t xml:space="preserve">It is our understanding that RAN1 agreed on answer to Q1 and Q2 but </w:t>
      </w:r>
      <w:r w:rsidR="001168A4">
        <w:t>still under discussion on other questions</w:t>
      </w:r>
      <w:r w:rsidR="00E07E8C">
        <w:t xml:space="preserve"> especially Q3 because RAN1 is evaluating three different options for step 3/4/5</w:t>
      </w:r>
      <w:r w:rsidR="001168A4">
        <w:t xml:space="preserve">. That is why RAN1 has not sent an LS in the last RAN1 meeting. </w:t>
      </w:r>
    </w:p>
    <w:p w14:paraId="22499069" w14:textId="470B6355" w:rsidR="00E07E8C" w:rsidRDefault="00E07E8C" w:rsidP="00757416">
      <w:r>
        <w:t xml:space="preserve">We think RAN2 can review some RAN1 agreements and discuss to progress RAN2 design or to improve RAN2 understanding. </w:t>
      </w:r>
    </w:p>
    <w:tbl>
      <w:tblPr>
        <w:tblStyle w:val="TableGrid"/>
        <w:tblW w:w="0" w:type="auto"/>
        <w:tblLook w:val="04A0" w:firstRow="1" w:lastRow="0" w:firstColumn="1" w:lastColumn="0" w:noHBand="0" w:noVBand="1"/>
      </w:tblPr>
      <w:tblGrid>
        <w:gridCol w:w="9350"/>
      </w:tblGrid>
      <w:tr w:rsidR="001168A4" w:rsidRPr="006B61AA" w14:paraId="5C17BC02" w14:textId="77777777" w:rsidTr="001168A4">
        <w:tc>
          <w:tcPr>
            <w:tcW w:w="9350" w:type="dxa"/>
          </w:tcPr>
          <w:p w14:paraId="15949184" w14:textId="77777777" w:rsidR="001168A4" w:rsidRPr="006B61AA" w:rsidRDefault="001168A4" w:rsidP="001168A4">
            <w:pPr>
              <w:pStyle w:val="NormalWeb"/>
              <w:spacing w:after="160" w:afterAutospacing="0"/>
              <w:rPr>
                <w:rFonts w:ascii="Times New Roman" w:hAnsi="Times New Roman" w:cs="Times New Roman"/>
                <w:szCs w:val="20"/>
                <w:highlight w:val="green"/>
              </w:rPr>
            </w:pPr>
            <w:bookmarkStart w:id="0" w:name="_Hlk179971312"/>
            <w:r w:rsidRPr="006B61AA">
              <w:rPr>
                <w:rFonts w:ascii="Times New Roman" w:hAnsi="Times New Roman" w:cs="Times New Roman" w:hint="eastAsia"/>
                <w:szCs w:val="20"/>
                <w:highlight w:val="green"/>
              </w:rPr>
              <w:t>Agreement</w:t>
            </w:r>
            <w:r w:rsidRPr="006B61AA">
              <w:rPr>
                <w:rFonts w:ascii="Times New Roman" w:hAnsi="Times New Roman" w:cs="Times New Roman"/>
                <w:szCs w:val="20"/>
                <w:highlight w:val="green"/>
              </w:rPr>
              <w:t xml:space="preserve"> </w:t>
            </w:r>
          </w:p>
          <w:p w14:paraId="7F9F20EF" w14:textId="77777777" w:rsidR="001168A4" w:rsidRPr="006B61AA" w:rsidRDefault="001168A4" w:rsidP="001168A4">
            <w:pPr>
              <w:pStyle w:val="NormalWeb"/>
              <w:spacing w:after="160" w:afterAutospacing="0"/>
              <w:rPr>
                <w:rFonts w:ascii="Times New Roman" w:hAnsi="Times New Roman" w:cs="Times New Roman"/>
                <w:szCs w:val="20"/>
              </w:rPr>
            </w:pPr>
            <w:r w:rsidRPr="006B61AA">
              <w:rPr>
                <w:rFonts w:ascii="Times New Roman" w:hAnsi="Times New Roman" w:cs="Times New Roman"/>
                <w:szCs w:val="20"/>
              </w:rPr>
              <w:t>Answer to Q1 in R1-2407604 as below</w:t>
            </w:r>
            <w:r w:rsidRPr="006B61AA">
              <w:rPr>
                <w:rFonts w:ascii="Times New Roman" w:hAnsi="Times New Roman" w:cs="Times New Roman" w:hint="eastAsia"/>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4"/>
            </w:tblGrid>
            <w:tr w:rsidR="001168A4" w:rsidRPr="006B61AA" w14:paraId="47352453" w14:textId="77777777" w:rsidTr="003A00DB">
              <w:tc>
                <w:tcPr>
                  <w:tcW w:w="10456" w:type="dxa"/>
                  <w:shd w:val="clear" w:color="auto" w:fill="auto"/>
                </w:tcPr>
                <w:p w14:paraId="16BF6291" w14:textId="77777777" w:rsidR="001168A4" w:rsidRPr="006B61AA" w:rsidRDefault="001168A4" w:rsidP="001168A4">
                  <w:pPr>
                    <w:tabs>
                      <w:tab w:val="left" w:pos="360"/>
                      <w:tab w:val="left" w:pos="1080"/>
                    </w:tabs>
                    <w:rPr>
                      <w:rFonts w:eastAsia="DengXian"/>
                      <w:sz w:val="18"/>
                      <w:lang w:eastAsia="zh-CN"/>
                    </w:rPr>
                  </w:pPr>
                  <w:r w:rsidRPr="006B61AA">
                    <w:rPr>
                      <w:sz w:val="18"/>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bookmarkEnd w:id="0"/>
          </w:tbl>
          <w:p w14:paraId="10F9D973" w14:textId="2053DCB2" w:rsidR="001168A4" w:rsidRPr="006B61AA" w:rsidRDefault="001168A4" w:rsidP="00757416">
            <w:pPr>
              <w:rPr>
                <w:sz w:val="18"/>
              </w:rPr>
            </w:pPr>
          </w:p>
        </w:tc>
      </w:tr>
      <w:tr w:rsidR="0093006E" w:rsidRPr="006B61AA" w14:paraId="710E60FE" w14:textId="77777777" w:rsidTr="0093006E">
        <w:tc>
          <w:tcPr>
            <w:tcW w:w="9350" w:type="dxa"/>
          </w:tcPr>
          <w:p w14:paraId="750C4F5E" w14:textId="77777777" w:rsidR="0093006E" w:rsidRPr="006B61AA" w:rsidRDefault="0093006E" w:rsidP="006B61AA">
            <w:pPr>
              <w:spacing w:line="240" w:lineRule="atLeast"/>
              <w:rPr>
                <w:sz w:val="18"/>
                <w:highlight w:val="green"/>
              </w:rPr>
            </w:pPr>
            <w:r w:rsidRPr="006B61AA">
              <w:rPr>
                <w:rFonts w:hint="eastAsia"/>
                <w:sz w:val="18"/>
                <w:highlight w:val="green"/>
              </w:rPr>
              <w:t>Agreement</w:t>
            </w:r>
          </w:p>
          <w:p w14:paraId="744DC5AD" w14:textId="77777777" w:rsidR="0093006E" w:rsidRPr="006B61AA" w:rsidRDefault="0093006E" w:rsidP="006B61AA">
            <w:pPr>
              <w:spacing w:line="240" w:lineRule="atLeast"/>
              <w:rPr>
                <w:sz w:val="18"/>
              </w:rPr>
            </w:pPr>
            <w:r w:rsidRPr="006B61AA">
              <w:rPr>
                <w:rFonts w:hint="eastAsia"/>
                <w:sz w:val="18"/>
              </w:rPr>
              <w:t>Incorporating below text into the general part of the LS</w:t>
            </w:r>
          </w:p>
          <w:p w14:paraId="66A579DA" w14:textId="77777777" w:rsidR="0093006E" w:rsidRPr="006B61AA" w:rsidRDefault="0093006E" w:rsidP="006B61AA">
            <w:pPr>
              <w:spacing w:line="240" w:lineRule="atLeast"/>
              <w:rPr>
                <w:sz w:val="18"/>
              </w:rPr>
            </w:pPr>
            <w:r w:rsidRPr="006B61AA">
              <w:rPr>
                <w:rFonts w:hint="eastAsia"/>
                <w:sz w:val="18"/>
              </w:rPr>
              <w:t>In RAN1</w:t>
            </w:r>
            <w:r w:rsidRPr="006B61AA">
              <w:rPr>
                <w:rFonts w:hint="eastAsia"/>
                <w:sz w:val="18"/>
              </w:rPr>
              <w:t>’</w:t>
            </w:r>
            <w:r w:rsidRPr="006B61AA">
              <w:rPr>
                <w:rFonts w:hint="eastAsia"/>
                <w:sz w:val="18"/>
              </w:rPr>
              <w:t xml:space="preserve">s discussion of RAN 2 terminologies on beam management, </w:t>
            </w:r>
          </w:p>
          <w:p w14:paraId="754091B5" w14:textId="77777777" w:rsidR="0093006E" w:rsidRPr="006B61AA" w:rsidRDefault="0093006E" w:rsidP="006B61AA">
            <w:pPr>
              <w:pStyle w:val="ListParagraph"/>
              <w:numPr>
                <w:ilvl w:val="0"/>
                <w:numId w:val="28"/>
              </w:numPr>
              <w:autoSpaceDN w:val="0"/>
              <w:spacing w:line="240" w:lineRule="atLeast"/>
              <w:contextualSpacing w:val="0"/>
              <w:rPr>
                <w:sz w:val="18"/>
                <w:lang w:eastAsia="de-DE"/>
              </w:rPr>
            </w:pPr>
            <w:r w:rsidRPr="006B61AA">
              <w:rPr>
                <w:rFonts w:hint="eastAsia"/>
                <w:sz w:val="18"/>
              </w:rPr>
              <w:t xml:space="preserve">The concept/terminology </w:t>
            </w:r>
            <w:r w:rsidRPr="006B61AA">
              <w:rPr>
                <w:rFonts w:hint="eastAsia"/>
                <w:sz w:val="18"/>
              </w:rPr>
              <w:t>“</w:t>
            </w:r>
            <w:r w:rsidRPr="006B61AA">
              <w:rPr>
                <w:rFonts w:hint="eastAsia"/>
                <w:sz w:val="18"/>
              </w:rPr>
              <w:t>functionality</w:t>
            </w:r>
            <w:r w:rsidRPr="006B61AA">
              <w:rPr>
                <w:rFonts w:hint="eastAsia"/>
                <w:sz w:val="18"/>
              </w:rPr>
              <w:t>“</w:t>
            </w:r>
            <w:r w:rsidRPr="006B61AA">
              <w:rPr>
                <w:rFonts w:hint="eastAsia"/>
                <w:sz w:val="18"/>
                <w:lang w:eastAsia="de-DE"/>
              </w:rPr>
              <w:t xml:space="preserve"> of </w:t>
            </w:r>
            <w:r w:rsidRPr="006B61AA">
              <w:rPr>
                <w:rFonts w:hint="eastAsia"/>
                <w:b/>
                <w:bCs/>
                <w:sz w:val="18"/>
                <w:lang w:eastAsia="de-DE"/>
              </w:rPr>
              <w:t xml:space="preserve">Supported </w:t>
            </w:r>
            <w:r w:rsidRPr="006B61AA">
              <w:rPr>
                <w:rFonts w:hint="eastAsia"/>
                <w:b/>
                <w:bCs/>
                <w:sz w:val="18"/>
              </w:rPr>
              <w:t>functionalities</w:t>
            </w:r>
            <w:r w:rsidRPr="006B61AA">
              <w:rPr>
                <w:rFonts w:hint="eastAsia"/>
                <w:sz w:val="18"/>
              </w:rPr>
              <w:t xml:space="preserve"> </w:t>
            </w:r>
            <w:r w:rsidRPr="006B61AA">
              <w:rPr>
                <w:rFonts w:hint="eastAsia"/>
                <w:sz w:val="18"/>
                <w:lang w:eastAsia="de-DE"/>
              </w:rPr>
              <w:t>may refer to UE-capability information/parameters i.e., Rel-19 AI/ML-specific FGs</w:t>
            </w:r>
          </w:p>
          <w:p w14:paraId="4922D413" w14:textId="77777777" w:rsidR="0093006E" w:rsidRPr="006B61AA" w:rsidRDefault="0093006E" w:rsidP="006B61AA">
            <w:pPr>
              <w:pStyle w:val="ListParagraph"/>
              <w:numPr>
                <w:ilvl w:val="0"/>
                <w:numId w:val="28"/>
              </w:numPr>
              <w:autoSpaceDN w:val="0"/>
              <w:spacing w:line="240" w:lineRule="atLeast"/>
              <w:contextualSpacing w:val="0"/>
              <w:rPr>
                <w:sz w:val="18"/>
                <w:lang w:eastAsia="de-DE"/>
              </w:rPr>
            </w:pPr>
            <w:r w:rsidRPr="006B61AA">
              <w:rPr>
                <w:rFonts w:hint="eastAsia"/>
                <w:sz w:val="18"/>
              </w:rPr>
              <w:t xml:space="preserve">The concept/terminology </w:t>
            </w:r>
            <w:r w:rsidRPr="006B61AA">
              <w:rPr>
                <w:rFonts w:hint="eastAsia"/>
                <w:sz w:val="18"/>
              </w:rPr>
              <w:t>“</w:t>
            </w:r>
            <w:r w:rsidRPr="006B61AA">
              <w:rPr>
                <w:rFonts w:hint="eastAsia"/>
                <w:sz w:val="18"/>
              </w:rPr>
              <w:t xml:space="preserve"> functionality</w:t>
            </w:r>
            <w:r w:rsidRPr="006B61AA">
              <w:rPr>
                <w:rFonts w:hint="eastAsia"/>
                <w:sz w:val="18"/>
              </w:rPr>
              <w:t>“</w:t>
            </w:r>
            <w:r w:rsidRPr="006B61AA">
              <w:rPr>
                <w:rFonts w:hint="eastAsia"/>
                <w:sz w:val="18"/>
                <w:lang w:eastAsia="de-DE"/>
              </w:rPr>
              <w:t xml:space="preserve"> of </w:t>
            </w:r>
            <w:r w:rsidRPr="006B61AA">
              <w:rPr>
                <w:rFonts w:hint="eastAsia"/>
                <w:b/>
                <w:bCs/>
                <w:sz w:val="18"/>
                <w:lang w:eastAsia="de-DE"/>
              </w:rPr>
              <w:t xml:space="preserve">Applicable </w:t>
            </w:r>
            <w:r w:rsidRPr="006B61AA">
              <w:rPr>
                <w:rFonts w:hint="eastAsia"/>
                <w:b/>
                <w:bCs/>
                <w:sz w:val="18"/>
              </w:rPr>
              <w:t>functionalities</w:t>
            </w:r>
            <w:r w:rsidRPr="006B61AA">
              <w:rPr>
                <w:rFonts w:hint="eastAsia"/>
                <w:sz w:val="18"/>
              </w:rPr>
              <w:t xml:space="preserve"> </w:t>
            </w:r>
            <w:r w:rsidRPr="006B61AA">
              <w:rPr>
                <w:rFonts w:hint="eastAsia"/>
                <w:sz w:val="18"/>
                <w:lang w:eastAsia="de-DE"/>
              </w:rPr>
              <w:t xml:space="preserve">may refer to </w:t>
            </w:r>
            <w:r w:rsidRPr="006B61AA">
              <w:rPr>
                <w:rFonts w:hint="eastAsia"/>
                <w:i/>
                <w:iCs/>
                <w:sz w:val="18"/>
                <w:lang w:eastAsia="de-DE"/>
              </w:rPr>
              <w:t>CSI-</w:t>
            </w:r>
            <w:proofErr w:type="spellStart"/>
            <w:r w:rsidRPr="006B61AA">
              <w:rPr>
                <w:rFonts w:hint="eastAsia"/>
                <w:i/>
                <w:iCs/>
                <w:sz w:val="18"/>
                <w:lang w:eastAsia="de-DE"/>
              </w:rPr>
              <w:t>ReportConfig</w:t>
            </w:r>
            <w:proofErr w:type="spellEnd"/>
            <w:r w:rsidRPr="006B61AA">
              <w:rPr>
                <w:rFonts w:hint="eastAsia"/>
                <w:sz w:val="18"/>
                <w:lang w:eastAsia="de-DE"/>
              </w:rPr>
              <w:t xml:space="preserve"> for inference configuration</w:t>
            </w:r>
            <w:r w:rsidRPr="006B61AA">
              <w:rPr>
                <w:rFonts w:hint="eastAsia"/>
                <w:color w:val="FF0000"/>
                <w:sz w:val="18"/>
                <w:lang w:eastAsia="de-DE"/>
              </w:rPr>
              <w:t xml:space="preserve"> (for option 1) </w:t>
            </w:r>
            <w:r w:rsidRPr="006B61AA">
              <w:rPr>
                <w:rFonts w:hint="eastAsia"/>
                <w:sz w:val="18"/>
                <w:lang w:eastAsia="de-DE"/>
              </w:rPr>
              <w:t xml:space="preserve">or a set of inference related parameters </w:t>
            </w:r>
            <w:r w:rsidRPr="006B61AA">
              <w:rPr>
                <w:rFonts w:hint="eastAsia"/>
                <w:color w:val="FF0000"/>
                <w:sz w:val="18"/>
                <w:lang w:eastAsia="de-DE"/>
              </w:rPr>
              <w:t xml:space="preserve">(for option 2) </w:t>
            </w:r>
            <w:r w:rsidRPr="006B61AA">
              <w:rPr>
                <w:rFonts w:hint="eastAsia"/>
                <w:sz w:val="18"/>
                <w:lang w:eastAsia="de-DE"/>
              </w:rPr>
              <w:t>or information/parameters</w:t>
            </w:r>
            <w:r w:rsidRPr="006B61AA">
              <w:rPr>
                <w:rFonts w:hint="eastAsia"/>
                <w:sz w:val="18"/>
              </w:rPr>
              <w:t xml:space="preserve"> indicated by UE </w:t>
            </w:r>
            <w:r w:rsidRPr="006B61AA">
              <w:rPr>
                <w:rFonts w:hint="eastAsia"/>
                <w:color w:val="FF0000"/>
                <w:sz w:val="18"/>
                <w:lang w:eastAsia="de-DE"/>
              </w:rPr>
              <w:t>(for option 3)</w:t>
            </w:r>
          </w:p>
          <w:p w14:paraId="582EB88A" w14:textId="77777777" w:rsidR="0093006E" w:rsidRPr="006B61AA" w:rsidRDefault="0093006E" w:rsidP="006B61AA">
            <w:pPr>
              <w:pStyle w:val="ListParagraph"/>
              <w:numPr>
                <w:ilvl w:val="0"/>
                <w:numId w:val="28"/>
              </w:numPr>
              <w:autoSpaceDN w:val="0"/>
              <w:spacing w:line="240" w:lineRule="atLeast"/>
              <w:contextualSpacing w:val="0"/>
              <w:rPr>
                <w:sz w:val="18"/>
                <w:lang w:eastAsia="de-DE"/>
              </w:rPr>
            </w:pPr>
            <w:r w:rsidRPr="006B61AA">
              <w:rPr>
                <w:rFonts w:hint="eastAsia"/>
                <w:sz w:val="18"/>
              </w:rPr>
              <w:t xml:space="preserve">The </w:t>
            </w:r>
            <w:r w:rsidRPr="006B61AA">
              <w:rPr>
                <w:rFonts w:hint="eastAsia"/>
                <w:b/>
                <w:bCs/>
                <w:sz w:val="18"/>
                <w:lang w:eastAsia="de-DE"/>
              </w:rPr>
              <w:t xml:space="preserve">Activated </w:t>
            </w:r>
            <w:r w:rsidRPr="006B61AA">
              <w:rPr>
                <w:rFonts w:hint="eastAsia"/>
                <w:b/>
                <w:bCs/>
                <w:sz w:val="18"/>
              </w:rPr>
              <w:t>functionalities</w:t>
            </w:r>
            <w:r w:rsidRPr="006B61AA">
              <w:rPr>
                <w:rFonts w:hint="eastAsia"/>
                <w:sz w:val="18"/>
              </w:rPr>
              <w:t xml:space="preserve"> </w:t>
            </w:r>
            <w:r w:rsidRPr="006B61AA">
              <w:rPr>
                <w:rFonts w:hint="eastAsia"/>
                <w:sz w:val="18"/>
                <w:lang w:eastAsia="de-DE"/>
              </w:rPr>
              <w:t xml:space="preserve">may </w:t>
            </w:r>
            <w:r w:rsidRPr="006B61AA">
              <w:rPr>
                <w:rFonts w:hint="eastAsia"/>
                <w:sz w:val="18"/>
              </w:rPr>
              <w:t>be enabled based on CSI framework.</w:t>
            </w:r>
          </w:p>
          <w:p w14:paraId="1E99102D" w14:textId="27F7194D" w:rsidR="0093006E" w:rsidRPr="006B61AA" w:rsidRDefault="0093006E" w:rsidP="006B61AA">
            <w:pPr>
              <w:spacing w:line="240" w:lineRule="atLeast"/>
              <w:rPr>
                <w:sz w:val="18"/>
              </w:rPr>
            </w:pPr>
            <w:r w:rsidRPr="006B61AA">
              <w:rPr>
                <w:rFonts w:hint="eastAsia"/>
                <w:sz w:val="18"/>
              </w:rPr>
              <w:t>Therefore, t</w:t>
            </w:r>
            <w:r w:rsidRPr="006B61AA">
              <w:rPr>
                <w:rFonts w:hint="eastAsia"/>
                <w:sz w:val="18"/>
                <w:lang w:eastAsia="de-DE"/>
              </w:rPr>
              <w:t xml:space="preserve">he meaning and the granularity of </w:t>
            </w:r>
            <w:r w:rsidRPr="006B61AA">
              <w:rPr>
                <w:rFonts w:hint="eastAsia"/>
                <w:sz w:val="18"/>
                <w:lang w:val="de-DE" w:eastAsia="de-DE"/>
              </w:rPr>
              <w:t>“</w:t>
            </w:r>
            <w:proofErr w:type="gramStart"/>
            <w:r w:rsidRPr="006B61AA">
              <w:rPr>
                <w:rFonts w:hint="eastAsia"/>
                <w:i/>
                <w:iCs/>
                <w:sz w:val="18"/>
                <w:lang w:eastAsia="de-DE"/>
              </w:rPr>
              <w:t>functionality</w:t>
            </w:r>
            <w:r w:rsidRPr="006B61AA">
              <w:rPr>
                <w:rFonts w:hint="eastAsia"/>
                <w:sz w:val="18"/>
                <w:lang w:val="de-DE" w:eastAsia="de-DE"/>
              </w:rPr>
              <w:t>“</w:t>
            </w:r>
            <w:proofErr w:type="gramEnd"/>
            <w:r w:rsidRPr="006B61AA">
              <w:rPr>
                <w:rFonts w:hint="eastAsia"/>
                <w:sz w:val="18"/>
                <w:lang w:eastAsia="de-DE"/>
              </w:rPr>
              <w:t xml:space="preserve">for </w:t>
            </w:r>
            <w:r w:rsidRPr="006B61AA">
              <w:rPr>
                <w:rFonts w:hint="eastAsia"/>
                <w:b/>
                <w:bCs/>
                <w:sz w:val="18"/>
                <w:lang w:eastAsia="de-DE"/>
              </w:rPr>
              <w:t>Applicable functionalities,</w:t>
            </w:r>
            <w:r w:rsidRPr="006B61AA">
              <w:rPr>
                <w:rFonts w:hint="eastAsia"/>
                <w:sz w:val="18"/>
                <w:lang w:eastAsia="de-DE"/>
              </w:rPr>
              <w:t xml:space="preserve"> </w:t>
            </w:r>
            <w:r w:rsidRPr="006B61AA">
              <w:rPr>
                <w:rFonts w:hint="eastAsia"/>
                <w:b/>
                <w:bCs/>
                <w:sz w:val="18"/>
                <w:lang w:eastAsia="de-DE"/>
              </w:rPr>
              <w:t>Activated functionalities</w:t>
            </w:r>
            <w:r w:rsidRPr="006B61AA">
              <w:rPr>
                <w:rFonts w:hint="eastAsia"/>
                <w:sz w:val="18"/>
                <w:lang w:eastAsia="de-DE"/>
              </w:rPr>
              <w:t xml:space="preserve"> and </w:t>
            </w:r>
            <w:r w:rsidRPr="006B61AA">
              <w:rPr>
                <w:rFonts w:hint="eastAsia"/>
                <w:b/>
                <w:bCs/>
                <w:sz w:val="18"/>
                <w:lang w:eastAsia="de-DE"/>
              </w:rPr>
              <w:t>Supported functionalities</w:t>
            </w:r>
            <w:r w:rsidRPr="006B61AA">
              <w:rPr>
                <w:rFonts w:hint="eastAsia"/>
                <w:sz w:val="18"/>
                <w:lang w:eastAsia="de-DE"/>
              </w:rPr>
              <w:t xml:space="preserve"> may or may not be the same</w:t>
            </w:r>
            <w:r w:rsidRPr="006B61AA">
              <w:rPr>
                <w:rFonts w:hint="eastAsia"/>
                <w:sz w:val="18"/>
              </w:rPr>
              <w:t>, depends on certain option in RAN1, and the discussion is still ongoing</w:t>
            </w:r>
          </w:p>
        </w:tc>
      </w:tr>
    </w:tbl>
    <w:p w14:paraId="33CA410B" w14:textId="02485886" w:rsidR="001168A4" w:rsidRDefault="001168A4" w:rsidP="002A62C5"/>
    <w:p w14:paraId="2C78CB9F" w14:textId="633E8524" w:rsidR="00C26A9C" w:rsidRDefault="00C26A9C" w:rsidP="002A62C5">
      <w:r>
        <w:t xml:space="preserve">Based on the above agreement, RAN2 can understand the </w:t>
      </w:r>
      <w:r w:rsidR="00351E18">
        <w:t xml:space="preserve">more detailed </w:t>
      </w:r>
      <w:r>
        <w:t>definition of functionality</w:t>
      </w:r>
      <w:r w:rsidR="00351E18">
        <w:t xml:space="preserve">. For further discussion, it would be good to confirm in order to ensure companies have the same understanding. </w:t>
      </w:r>
      <w:r>
        <w:t xml:space="preserve"> </w:t>
      </w:r>
    </w:p>
    <w:p w14:paraId="558B4FAB" w14:textId="4C1EEBAA" w:rsidR="0059751D" w:rsidRPr="00351E18" w:rsidRDefault="00C26A9C" w:rsidP="002A62C5">
      <w:pPr>
        <w:rPr>
          <w:b/>
          <w:lang w:eastAsia="en-US"/>
        </w:rPr>
      </w:pPr>
      <w:r w:rsidRPr="00351E18">
        <w:rPr>
          <w:b/>
          <w:lang w:eastAsia="en-US"/>
        </w:rPr>
        <w:t xml:space="preserve">Proposal </w:t>
      </w:r>
      <w:r w:rsidRPr="00351E18">
        <w:rPr>
          <w:rFonts w:cs="Calibri"/>
          <w:b/>
          <w:bCs/>
        </w:rPr>
        <w:fldChar w:fldCharType="begin"/>
      </w:r>
      <w:r w:rsidRPr="00351E18">
        <w:rPr>
          <w:rFonts w:cs="Calibri"/>
          <w:b/>
          <w:bCs/>
        </w:rPr>
        <w:instrText xml:space="preserve"> SEQ pro \* MERGEFORMAT  \* MERGEFORMAT </w:instrText>
      </w:r>
      <w:r w:rsidRPr="00351E18">
        <w:rPr>
          <w:rFonts w:cs="Calibri"/>
          <w:b/>
          <w:bCs/>
        </w:rPr>
        <w:fldChar w:fldCharType="separate"/>
      </w:r>
      <w:r w:rsidR="006C6134">
        <w:rPr>
          <w:rFonts w:cs="Calibri"/>
          <w:b/>
          <w:bCs/>
          <w:noProof/>
        </w:rPr>
        <w:t>1</w:t>
      </w:r>
      <w:r w:rsidRPr="00351E18">
        <w:rPr>
          <w:rFonts w:cs="Calibri"/>
          <w:b/>
          <w:bCs/>
        </w:rPr>
        <w:fldChar w:fldCharType="end"/>
      </w:r>
      <w:r w:rsidRPr="00351E18">
        <w:rPr>
          <w:b/>
          <w:lang w:eastAsia="en-US"/>
        </w:rPr>
        <w:t xml:space="preserve">: RAN2 confirms the following understanding based on RAN1 agreements. </w:t>
      </w:r>
    </w:p>
    <w:p w14:paraId="6093D0FF" w14:textId="248A2568" w:rsidR="00C26A9C" w:rsidRPr="00351E18" w:rsidRDefault="00C26A9C" w:rsidP="00C26A9C">
      <w:pPr>
        <w:pStyle w:val="ListParagraph"/>
        <w:numPr>
          <w:ilvl w:val="0"/>
          <w:numId w:val="29"/>
        </w:numPr>
        <w:rPr>
          <w:b/>
        </w:rPr>
      </w:pPr>
      <w:r w:rsidRPr="00351E18">
        <w:rPr>
          <w:b/>
        </w:rPr>
        <w:lastRenderedPageBreak/>
        <w:t xml:space="preserve">Supported functionality may refer to AI/ML-specific FGs and it may not be the same as other functionality. </w:t>
      </w:r>
    </w:p>
    <w:p w14:paraId="2566F00E" w14:textId="4E2B0B1F" w:rsidR="00C26A9C" w:rsidRPr="00351E18" w:rsidRDefault="00C26A9C" w:rsidP="00C26A9C">
      <w:pPr>
        <w:pStyle w:val="ListParagraph"/>
        <w:numPr>
          <w:ilvl w:val="0"/>
          <w:numId w:val="29"/>
        </w:numPr>
        <w:rPr>
          <w:b/>
        </w:rPr>
      </w:pPr>
      <w:r w:rsidRPr="00351E18">
        <w:rPr>
          <w:b/>
        </w:rPr>
        <w:t>Activated functionality may refer to CSI</w:t>
      </w:r>
      <w:r w:rsidR="00DC1C11">
        <w:rPr>
          <w:b/>
        </w:rPr>
        <w:t xml:space="preserve"> </w:t>
      </w:r>
      <w:r w:rsidRPr="00351E18">
        <w:rPr>
          <w:b/>
        </w:rPr>
        <w:t xml:space="preserve">Report. </w:t>
      </w:r>
    </w:p>
    <w:p w14:paraId="6627071A" w14:textId="168BD938" w:rsidR="00C26A9C" w:rsidRDefault="00351E18" w:rsidP="00C26A9C">
      <w:pPr>
        <w:rPr>
          <w:b/>
          <w:lang w:eastAsia="en-US"/>
        </w:rPr>
      </w:pPr>
      <w:r w:rsidRPr="00351E18">
        <w:rPr>
          <w:b/>
          <w:lang w:eastAsia="en-US"/>
        </w:rPr>
        <w:t xml:space="preserve">Proposal </w:t>
      </w:r>
      <w:r w:rsidRPr="00351E18">
        <w:rPr>
          <w:rFonts w:cs="Calibri"/>
          <w:b/>
          <w:bCs/>
        </w:rPr>
        <w:fldChar w:fldCharType="begin"/>
      </w:r>
      <w:r w:rsidRPr="00351E18">
        <w:rPr>
          <w:rFonts w:cs="Calibri"/>
          <w:b/>
          <w:bCs/>
        </w:rPr>
        <w:instrText xml:space="preserve"> SEQ pro \* MERGEFORMAT  \* MERGEFORMAT </w:instrText>
      </w:r>
      <w:r w:rsidRPr="00351E18">
        <w:rPr>
          <w:rFonts w:cs="Calibri"/>
          <w:b/>
          <w:bCs/>
        </w:rPr>
        <w:fldChar w:fldCharType="separate"/>
      </w:r>
      <w:r w:rsidR="006C6134">
        <w:rPr>
          <w:rFonts w:cs="Calibri"/>
          <w:b/>
          <w:bCs/>
          <w:noProof/>
        </w:rPr>
        <w:t>2</w:t>
      </w:r>
      <w:r w:rsidRPr="00351E18">
        <w:rPr>
          <w:rFonts w:cs="Calibri"/>
          <w:b/>
          <w:bCs/>
        </w:rPr>
        <w:fldChar w:fldCharType="end"/>
      </w:r>
      <w:r w:rsidRPr="00351E18">
        <w:rPr>
          <w:b/>
          <w:lang w:eastAsia="en-US"/>
        </w:rPr>
        <w:t>:</w:t>
      </w:r>
      <w:r>
        <w:rPr>
          <w:b/>
          <w:lang w:eastAsia="en-US"/>
        </w:rPr>
        <w:t xml:space="preserve"> RAN2 wait</w:t>
      </w:r>
      <w:r w:rsidR="00DC1C11">
        <w:rPr>
          <w:b/>
          <w:lang w:eastAsia="en-US"/>
        </w:rPr>
        <w:t>s</w:t>
      </w:r>
      <w:r>
        <w:rPr>
          <w:b/>
          <w:lang w:eastAsia="en-US"/>
        </w:rPr>
        <w:t xml:space="preserve"> further for the definition of applicable functionality</w:t>
      </w:r>
      <w:r w:rsidR="00DC1C11">
        <w:rPr>
          <w:b/>
          <w:lang w:eastAsia="en-US"/>
        </w:rPr>
        <w:t xml:space="preserve"> i.e. whether applicable functionality refer to CSI Report (same as activated functionality), a set of inference related parameters or information/parameters indicated by </w:t>
      </w:r>
      <w:r w:rsidR="00DC1C11">
        <w:rPr>
          <w:rFonts w:hint="eastAsia"/>
          <w:b/>
          <w:lang w:eastAsia="en-US"/>
        </w:rPr>
        <w:t>th</w:t>
      </w:r>
      <w:r w:rsidR="00DC1C11">
        <w:rPr>
          <w:b/>
          <w:lang w:eastAsia="en-US"/>
        </w:rPr>
        <w:t>e UE</w:t>
      </w:r>
      <w:r>
        <w:rPr>
          <w:b/>
          <w:lang w:eastAsia="en-US"/>
        </w:rPr>
        <w:t xml:space="preserve">. </w:t>
      </w:r>
    </w:p>
    <w:p w14:paraId="7FF00594" w14:textId="5963E554" w:rsidR="00240F81" w:rsidRDefault="00240F81" w:rsidP="00240F81">
      <w:pPr>
        <w:pStyle w:val="Heading1"/>
        <w:numPr>
          <w:ilvl w:val="0"/>
          <w:numId w:val="3"/>
        </w:numPr>
      </w:pPr>
      <w:r w:rsidRPr="00253B6A">
        <w:t>Performance monitoring</w:t>
      </w:r>
    </w:p>
    <w:p w14:paraId="1A8C325F" w14:textId="3F38A0F4" w:rsidR="004F118B" w:rsidRDefault="004F118B" w:rsidP="002770E2">
      <w:pPr>
        <w:jc w:val="both"/>
        <w:rPr>
          <w:lang w:eastAsia="en-US"/>
        </w:rPr>
      </w:pPr>
      <w:r>
        <w:rPr>
          <w:lang w:eastAsia="en-US"/>
        </w:rPr>
        <w:t xml:space="preserve">During the study item, RAN1 identified both Type 1 and Type 2 performance monitoring, where </w:t>
      </w:r>
      <w:r w:rsidRPr="004F118B">
        <w:rPr>
          <w:lang w:eastAsia="en-US"/>
        </w:rPr>
        <w:t>type 1 is NW to control LCM operation of UE-side model and type 2 is UE to control the LCM operation.</w:t>
      </w:r>
      <w:r>
        <w:rPr>
          <w:lang w:eastAsia="en-US"/>
        </w:rPr>
        <w:t xml:space="preserve"> During the work item, RAN1 </w:t>
      </w:r>
      <w:r w:rsidR="00A27044">
        <w:rPr>
          <w:lang w:eastAsia="en-US"/>
        </w:rPr>
        <w:t>agreed to support Type 1 and FFS for Type 2</w:t>
      </w:r>
      <w:r>
        <w:rPr>
          <w:lang w:eastAsia="en-US"/>
        </w:rPr>
        <w:t xml:space="preserve"> </w:t>
      </w:r>
      <w:r w:rsidR="00286196">
        <w:rPr>
          <w:lang w:eastAsia="en-US"/>
        </w:rPr>
        <w:t>because</w:t>
      </w:r>
      <w:r>
        <w:rPr>
          <w:lang w:eastAsia="en-US"/>
        </w:rPr>
        <w:t xml:space="preserve"> </w:t>
      </w:r>
      <w:r w:rsidR="00A27044">
        <w:rPr>
          <w:lang w:eastAsia="en-US"/>
        </w:rPr>
        <w:t>T</w:t>
      </w:r>
      <w:r>
        <w:rPr>
          <w:lang w:eastAsia="en-US"/>
        </w:rPr>
        <w:t xml:space="preserve">ype 2 can be left to UE implementation. </w:t>
      </w:r>
      <w:r w:rsidR="00A27044">
        <w:rPr>
          <w:lang w:eastAsia="en-US"/>
        </w:rPr>
        <w:t>For</w:t>
      </w:r>
      <w:r>
        <w:rPr>
          <w:lang w:eastAsia="en-US"/>
        </w:rPr>
        <w:t xml:space="preserve"> Type 1</w:t>
      </w:r>
      <w:r w:rsidR="008E42E9">
        <w:rPr>
          <w:lang w:eastAsia="en-US"/>
        </w:rPr>
        <w:t xml:space="preserve">, </w:t>
      </w:r>
      <w:r w:rsidR="00A27044">
        <w:rPr>
          <w:lang w:eastAsia="en-US"/>
        </w:rPr>
        <w:t xml:space="preserve">RAN1 agreed to support two options (NW-side performance monitoring and UE-assisted performance monitoring) as shown below. </w:t>
      </w:r>
      <w:r w:rsidR="008E42E9">
        <w:rPr>
          <w:lang w:eastAsia="en-US"/>
        </w:rPr>
        <w:t xml:space="preserve"> </w:t>
      </w:r>
    </w:p>
    <w:tbl>
      <w:tblPr>
        <w:tblStyle w:val="TableGrid"/>
        <w:tblW w:w="0" w:type="auto"/>
        <w:tblLook w:val="04A0" w:firstRow="1" w:lastRow="0" w:firstColumn="1" w:lastColumn="0" w:noHBand="0" w:noVBand="1"/>
      </w:tblPr>
      <w:tblGrid>
        <w:gridCol w:w="9350"/>
      </w:tblGrid>
      <w:tr w:rsidR="004F118B" w14:paraId="713CCDE8" w14:textId="77777777" w:rsidTr="003A00DB">
        <w:tc>
          <w:tcPr>
            <w:tcW w:w="9350" w:type="dxa"/>
          </w:tcPr>
          <w:p w14:paraId="76AEB972" w14:textId="77777777" w:rsidR="004F118B" w:rsidRPr="008E42E9" w:rsidRDefault="004F118B" w:rsidP="003A00DB">
            <w:pPr>
              <w:jc w:val="both"/>
              <w:rPr>
                <w:rFonts w:cstheme="minorHAnsi"/>
                <w:sz w:val="18"/>
                <w:szCs w:val="18"/>
                <w:highlight w:val="green"/>
              </w:rPr>
            </w:pPr>
            <w:r w:rsidRPr="008E42E9">
              <w:rPr>
                <w:rFonts w:cstheme="minorHAnsi"/>
                <w:sz w:val="18"/>
                <w:szCs w:val="18"/>
                <w:highlight w:val="green"/>
              </w:rPr>
              <w:t>Agreement</w:t>
            </w:r>
          </w:p>
          <w:p w14:paraId="280D4958" w14:textId="77777777" w:rsidR="004F118B" w:rsidRPr="008E42E9" w:rsidRDefault="004F118B" w:rsidP="003A00DB">
            <w:pPr>
              <w:jc w:val="both"/>
              <w:rPr>
                <w:rFonts w:cstheme="minorHAnsi"/>
                <w:sz w:val="18"/>
                <w:szCs w:val="18"/>
                <w:lang w:eastAsia="x-none"/>
              </w:rPr>
            </w:pPr>
            <w:r w:rsidRPr="008E42E9">
              <w:rPr>
                <w:rFonts w:cstheme="minorHAnsi"/>
                <w:sz w:val="18"/>
                <w:szCs w:val="18"/>
                <w:lang w:eastAsia="de-DE"/>
              </w:rPr>
              <w:t xml:space="preserve">At least </w:t>
            </w:r>
            <w:r w:rsidRPr="008E42E9">
              <w:rPr>
                <w:rFonts w:cstheme="minorHAnsi"/>
                <w:color w:val="000000"/>
                <w:sz w:val="18"/>
                <w:szCs w:val="18"/>
                <w:lang w:eastAsia="de-DE"/>
              </w:rPr>
              <w:t>for the monitoring Type 1 Option 2 of UE-side model monitoring</w:t>
            </w:r>
            <w:r w:rsidRPr="008E42E9">
              <w:rPr>
                <w:rFonts w:cstheme="minorHAnsi"/>
                <w:sz w:val="18"/>
                <w:szCs w:val="18"/>
                <w:lang w:eastAsia="de-DE"/>
              </w:rPr>
              <w:t xml:space="preserve"> (when applicable</w:t>
            </w:r>
            <w:r w:rsidRPr="008E42E9">
              <w:rPr>
                <w:rFonts w:cstheme="minorHAnsi"/>
                <w:color w:val="FF0000"/>
                <w:sz w:val="18"/>
                <w:szCs w:val="18"/>
                <w:lang w:eastAsia="de-DE"/>
              </w:rPr>
              <w:t>), consider the following options with potential down selection for the configura</w:t>
            </w:r>
            <w:r w:rsidRPr="008E42E9">
              <w:rPr>
                <w:rFonts w:cstheme="minorHAnsi"/>
                <w:color w:val="FF0000"/>
                <w:sz w:val="18"/>
                <w:szCs w:val="18"/>
                <w:lang w:eastAsia="x-none"/>
              </w:rPr>
              <w:t xml:space="preserve">tion </w:t>
            </w:r>
            <w:r w:rsidRPr="008E42E9">
              <w:rPr>
                <w:rFonts w:cstheme="minorHAnsi"/>
                <w:sz w:val="18"/>
                <w:szCs w:val="18"/>
                <w:lang w:eastAsia="x-none"/>
              </w:rPr>
              <w:t>for monitoring:</w:t>
            </w:r>
          </w:p>
          <w:p w14:paraId="20C3836C" w14:textId="77777777" w:rsidR="004F118B" w:rsidRPr="008E42E9" w:rsidRDefault="004F118B" w:rsidP="003A00DB">
            <w:pPr>
              <w:pStyle w:val="ListParagraph"/>
              <w:numPr>
                <w:ilvl w:val="0"/>
                <w:numId w:val="25"/>
              </w:numPr>
              <w:autoSpaceDN w:val="0"/>
              <w:contextualSpacing w:val="0"/>
              <w:jc w:val="both"/>
              <w:rPr>
                <w:rFonts w:cstheme="minorHAnsi"/>
                <w:sz w:val="18"/>
                <w:szCs w:val="18"/>
                <w:lang w:eastAsia="x-none"/>
              </w:rPr>
            </w:pPr>
            <w:r w:rsidRPr="008E42E9">
              <w:rPr>
                <w:rFonts w:cstheme="minorHAnsi"/>
                <w:sz w:val="18"/>
                <w:szCs w:val="18"/>
              </w:rPr>
              <w:t xml:space="preserve">Option 1: The resource set(s) for monitoring and report configuration for monitoring are configured (when applicable) </w:t>
            </w:r>
            <w:r w:rsidRPr="008E42E9">
              <w:rPr>
                <w:rFonts w:cstheme="minorHAnsi"/>
                <w:color w:val="FF0000"/>
                <w:sz w:val="18"/>
                <w:szCs w:val="18"/>
              </w:rPr>
              <w:t>within CSI report configuration used for inference</w:t>
            </w:r>
          </w:p>
          <w:p w14:paraId="07958088" w14:textId="77777777" w:rsidR="004F118B" w:rsidRPr="008E42E9" w:rsidRDefault="004F118B" w:rsidP="003A00DB">
            <w:pPr>
              <w:pStyle w:val="ListParagraph"/>
              <w:numPr>
                <w:ilvl w:val="1"/>
                <w:numId w:val="25"/>
              </w:numPr>
              <w:autoSpaceDN w:val="0"/>
              <w:contextualSpacing w:val="0"/>
              <w:jc w:val="both"/>
              <w:rPr>
                <w:rFonts w:cstheme="minorHAnsi"/>
                <w:sz w:val="18"/>
                <w:szCs w:val="18"/>
              </w:rPr>
            </w:pPr>
            <w:r w:rsidRPr="008E42E9">
              <w:rPr>
                <w:rFonts w:cstheme="minorHAnsi"/>
                <w:sz w:val="18"/>
                <w:szCs w:val="18"/>
              </w:rPr>
              <w:t xml:space="preserve">FFS: the resource set(s) for monitoring </w:t>
            </w:r>
          </w:p>
          <w:p w14:paraId="0D70A106" w14:textId="77777777" w:rsidR="004F118B" w:rsidRPr="008E42E9" w:rsidRDefault="004F118B" w:rsidP="003A00DB">
            <w:pPr>
              <w:pStyle w:val="ListParagraph"/>
              <w:numPr>
                <w:ilvl w:val="1"/>
                <w:numId w:val="25"/>
              </w:numPr>
              <w:autoSpaceDN w:val="0"/>
              <w:contextualSpacing w:val="0"/>
              <w:jc w:val="both"/>
              <w:rPr>
                <w:rFonts w:cstheme="minorHAnsi"/>
                <w:sz w:val="18"/>
                <w:szCs w:val="18"/>
              </w:rPr>
            </w:pPr>
            <w:r w:rsidRPr="008E42E9">
              <w:rPr>
                <w:rFonts w:cstheme="minorHAnsi"/>
                <w:sz w:val="18"/>
                <w:szCs w:val="18"/>
              </w:rPr>
              <w:t xml:space="preserve">UE measures the resource set(s) for monitoring. </w:t>
            </w:r>
          </w:p>
          <w:p w14:paraId="34DE1ED3" w14:textId="77777777" w:rsidR="004F118B" w:rsidRPr="008E42E9" w:rsidRDefault="004F118B" w:rsidP="003A00DB">
            <w:pPr>
              <w:pStyle w:val="ListParagraph"/>
              <w:numPr>
                <w:ilvl w:val="1"/>
                <w:numId w:val="25"/>
              </w:numPr>
              <w:autoSpaceDN w:val="0"/>
              <w:contextualSpacing w:val="0"/>
              <w:jc w:val="both"/>
              <w:rPr>
                <w:rFonts w:cstheme="minorHAnsi"/>
                <w:sz w:val="18"/>
                <w:szCs w:val="18"/>
              </w:rPr>
            </w:pPr>
            <w:r w:rsidRPr="008E42E9">
              <w:rPr>
                <w:rFonts w:cstheme="minorHAnsi"/>
                <w:sz w:val="18"/>
                <w:szCs w:val="18"/>
              </w:rPr>
              <w:t xml:space="preserve">FFS how/when to report the monitoring results. </w:t>
            </w:r>
          </w:p>
          <w:p w14:paraId="48514E9B" w14:textId="77777777" w:rsidR="004F118B" w:rsidRPr="008E42E9" w:rsidRDefault="004F118B" w:rsidP="003A00DB">
            <w:pPr>
              <w:pStyle w:val="ListParagraph"/>
              <w:numPr>
                <w:ilvl w:val="0"/>
                <w:numId w:val="25"/>
              </w:numPr>
              <w:autoSpaceDN w:val="0"/>
              <w:contextualSpacing w:val="0"/>
              <w:jc w:val="both"/>
              <w:rPr>
                <w:rFonts w:cstheme="minorHAnsi"/>
                <w:sz w:val="18"/>
                <w:szCs w:val="18"/>
              </w:rPr>
            </w:pPr>
            <w:r w:rsidRPr="008E42E9">
              <w:rPr>
                <w:rFonts w:cstheme="minorHAnsi"/>
                <w:sz w:val="18"/>
                <w:szCs w:val="18"/>
              </w:rPr>
              <w:t xml:space="preserve">Option 2: Dedicated resource set(s) for monitoring and report configuration for monitoring are configured </w:t>
            </w:r>
            <w:r w:rsidRPr="008E42E9">
              <w:rPr>
                <w:rFonts w:cstheme="minorHAnsi"/>
                <w:color w:val="FF0000"/>
                <w:sz w:val="18"/>
                <w:szCs w:val="18"/>
              </w:rPr>
              <w:t>in a dedicated CSI report configuration used for monitoring</w:t>
            </w:r>
          </w:p>
          <w:p w14:paraId="724174DC" w14:textId="77777777" w:rsidR="004F118B" w:rsidRPr="008E42E9" w:rsidRDefault="004F118B" w:rsidP="003A00DB">
            <w:pPr>
              <w:pStyle w:val="ListParagraph"/>
              <w:numPr>
                <w:ilvl w:val="1"/>
                <w:numId w:val="25"/>
              </w:numPr>
              <w:autoSpaceDN w:val="0"/>
              <w:contextualSpacing w:val="0"/>
              <w:jc w:val="both"/>
              <w:rPr>
                <w:rFonts w:cstheme="minorHAnsi"/>
                <w:sz w:val="18"/>
                <w:szCs w:val="18"/>
              </w:rPr>
            </w:pPr>
            <w:r w:rsidRPr="008E42E9">
              <w:rPr>
                <w:rFonts w:cstheme="minorHAnsi"/>
                <w:sz w:val="18"/>
                <w:szCs w:val="18"/>
              </w:rPr>
              <w:t xml:space="preserve">The dedicated report configuration used for monitoring links to an inference report configuration </w:t>
            </w:r>
          </w:p>
          <w:p w14:paraId="542D12FB" w14:textId="77777777" w:rsidR="004F118B" w:rsidRPr="008E42E9" w:rsidRDefault="004F118B" w:rsidP="003A00DB">
            <w:pPr>
              <w:pStyle w:val="ListParagraph"/>
              <w:numPr>
                <w:ilvl w:val="2"/>
                <w:numId w:val="25"/>
              </w:numPr>
              <w:autoSpaceDN w:val="0"/>
              <w:contextualSpacing w:val="0"/>
              <w:jc w:val="both"/>
              <w:rPr>
                <w:rFonts w:cstheme="minorHAnsi"/>
                <w:sz w:val="18"/>
                <w:szCs w:val="18"/>
              </w:rPr>
            </w:pPr>
            <w:r w:rsidRPr="008E42E9">
              <w:rPr>
                <w:rFonts w:cstheme="minorHAnsi"/>
                <w:sz w:val="18"/>
                <w:szCs w:val="18"/>
              </w:rPr>
              <w:t>FFS how to identify the connection between RSs in the resource set(s) for monitoring and Set A beams</w:t>
            </w:r>
          </w:p>
          <w:p w14:paraId="603E1926" w14:textId="77777777" w:rsidR="004F118B" w:rsidRPr="008E42E9" w:rsidRDefault="004F118B" w:rsidP="003A00DB">
            <w:pPr>
              <w:pStyle w:val="ListParagraph"/>
              <w:numPr>
                <w:ilvl w:val="1"/>
                <w:numId w:val="25"/>
              </w:numPr>
              <w:autoSpaceDN w:val="0"/>
              <w:contextualSpacing w:val="0"/>
              <w:jc w:val="both"/>
              <w:rPr>
                <w:rFonts w:cstheme="minorHAnsi"/>
                <w:sz w:val="18"/>
                <w:szCs w:val="18"/>
              </w:rPr>
            </w:pPr>
            <w:r w:rsidRPr="008E42E9">
              <w:rPr>
                <w:rFonts w:cstheme="minorHAnsi"/>
                <w:sz w:val="18"/>
                <w:szCs w:val="18"/>
              </w:rPr>
              <w:t xml:space="preserve">UE measures the resource set(s) for monitoring. </w:t>
            </w:r>
          </w:p>
          <w:p w14:paraId="4957AB35" w14:textId="77777777" w:rsidR="004F118B" w:rsidRPr="008E42E9" w:rsidRDefault="004F118B" w:rsidP="003A00DB">
            <w:pPr>
              <w:pStyle w:val="ListParagraph"/>
              <w:numPr>
                <w:ilvl w:val="1"/>
                <w:numId w:val="25"/>
              </w:numPr>
              <w:autoSpaceDN w:val="0"/>
              <w:contextualSpacing w:val="0"/>
              <w:jc w:val="both"/>
              <w:rPr>
                <w:rFonts w:cstheme="minorHAnsi"/>
                <w:sz w:val="18"/>
                <w:szCs w:val="18"/>
              </w:rPr>
            </w:pPr>
            <w:r w:rsidRPr="008E42E9">
              <w:rPr>
                <w:rFonts w:cstheme="minorHAnsi"/>
                <w:sz w:val="18"/>
                <w:szCs w:val="18"/>
              </w:rPr>
              <w:t xml:space="preserve">FFS when to report the monitoring results. </w:t>
            </w:r>
          </w:p>
          <w:p w14:paraId="434FF961" w14:textId="77777777" w:rsidR="004F118B" w:rsidRPr="008E42E9" w:rsidRDefault="004F118B" w:rsidP="003A00DB">
            <w:pPr>
              <w:jc w:val="both"/>
              <w:rPr>
                <w:rFonts w:cstheme="minorHAnsi"/>
                <w:sz w:val="18"/>
                <w:szCs w:val="18"/>
              </w:rPr>
            </w:pPr>
          </w:p>
          <w:p w14:paraId="6E1ED201" w14:textId="77777777" w:rsidR="004F118B" w:rsidRPr="008E42E9" w:rsidRDefault="004F118B" w:rsidP="003A00DB">
            <w:pPr>
              <w:jc w:val="both"/>
              <w:rPr>
                <w:rFonts w:cstheme="minorHAnsi"/>
                <w:sz w:val="18"/>
                <w:szCs w:val="18"/>
                <w:highlight w:val="green"/>
              </w:rPr>
            </w:pPr>
            <w:r w:rsidRPr="008E42E9">
              <w:rPr>
                <w:rFonts w:cstheme="minorHAnsi"/>
                <w:sz w:val="18"/>
                <w:szCs w:val="18"/>
                <w:highlight w:val="green"/>
              </w:rPr>
              <w:t>Agreement</w:t>
            </w:r>
          </w:p>
          <w:p w14:paraId="2F6B736A" w14:textId="77777777" w:rsidR="004F118B" w:rsidRPr="008E42E9" w:rsidRDefault="004F118B" w:rsidP="003A00DB">
            <w:pPr>
              <w:snapToGrid w:val="0"/>
              <w:spacing w:line="100" w:lineRule="atLeast"/>
              <w:jc w:val="both"/>
              <w:rPr>
                <w:rFonts w:cstheme="minorHAnsi"/>
                <w:sz w:val="18"/>
                <w:szCs w:val="18"/>
              </w:rPr>
            </w:pPr>
            <w:r w:rsidRPr="008E42E9">
              <w:rPr>
                <w:rFonts w:cstheme="minorHAnsi"/>
                <w:sz w:val="18"/>
                <w:szCs w:val="18"/>
              </w:rPr>
              <w:t>For BM-Case1 and BM-Case2 with a UE-side AI/ML model:</w:t>
            </w:r>
          </w:p>
          <w:p w14:paraId="48377782" w14:textId="77777777" w:rsidR="004F118B" w:rsidRPr="008E42E9" w:rsidRDefault="004F118B" w:rsidP="003A00DB">
            <w:pPr>
              <w:pStyle w:val="B1"/>
              <w:numPr>
                <w:ilvl w:val="0"/>
                <w:numId w:val="26"/>
              </w:numPr>
              <w:snapToGrid w:val="0"/>
              <w:spacing w:after="0" w:line="100" w:lineRule="atLeast"/>
              <w:jc w:val="both"/>
              <w:rPr>
                <w:rFonts w:asciiTheme="minorHAnsi" w:hAnsiTheme="minorHAnsi" w:cstheme="minorHAnsi"/>
                <w:sz w:val="18"/>
                <w:szCs w:val="18"/>
                <w:lang w:eastAsia="de-DE"/>
              </w:rPr>
            </w:pPr>
            <w:r w:rsidRPr="008E42E9">
              <w:rPr>
                <w:rFonts w:asciiTheme="minorHAnsi" w:hAnsiTheme="minorHAnsi" w:cstheme="minorHAnsi"/>
                <w:sz w:val="18"/>
                <w:szCs w:val="18"/>
                <w:lang w:eastAsia="de-DE"/>
              </w:rPr>
              <w:t>Support Type 1 performance monitoring</w:t>
            </w:r>
            <w:r w:rsidRPr="008E42E9">
              <w:rPr>
                <w:rFonts w:asciiTheme="minorHAnsi" w:hAnsiTheme="minorHAnsi" w:cstheme="minorHAnsi"/>
                <w:sz w:val="18"/>
                <w:szCs w:val="18"/>
                <w:lang w:eastAsia="zh-CN"/>
              </w:rPr>
              <w:t xml:space="preserve">, including the following two options: </w:t>
            </w:r>
          </w:p>
          <w:p w14:paraId="12F09371" w14:textId="77777777" w:rsidR="004F118B" w:rsidRPr="008E42E9" w:rsidRDefault="004F118B" w:rsidP="003A00DB">
            <w:pPr>
              <w:pStyle w:val="B3"/>
              <w:numPr>
                <w:ilvl w:val="1"/>
                <w:numId w:val="26"/>
              </w:numPr>
              <w:snapToGrid w:val="0"/>
              <w:spacing w:after="0" w:line="100" w:lineRule="atLeast"/>
              <w:jc w:val="both"/>
              <w:rPr>
                <w:rFonts w:cstheme="minorHAnsi"/>
                <w:color w:val="FF0000"/>
                <w:sz w:val="18"/>
                <w:szCs w:val="18"/>
              </w:rPr>
            </w:pPr>
            <w:r w:rsidRPr="008E42E9">
              <w:rPr>
                <w:rFonts w:cstheme="minorHAnsi"/>
                <w:color w:val="FF0000"/>
                <w:sz w:val="18"/>
                <w:szCs w:val="18"/>
              </w:rPr>
              <w:t xml:space="preserve">Option 1 (NW-side performance monitoring): </w:t>
            </w:r>
          </w:p>
          <w:p w14:paraId="32550807" w14:textId="77777777" w:rsidR="004F118B" w:rsidRPr="008E42E9" w:rsidRDefault="004F118B" w:rsidP="003A00DB">
            <w:pPr>
              <w:pStyle w:val="B3"/>
              <w:numPr>
                <w:ilvl w:val="2"/>
                <w:numId w:val="26"/>
              </w:numPr>
              <w:snapToGrid w:val="0"/>
              <w:spacing w:after="0" w:line="100" w:lineRule="atLeast"/>
              <w:jc w:val="both"/>
              <w:rPr>
                <w:rFonts w:cstheme="minorHAnsi"/>
                <w:sz w:val="18"/>
                <w:szCs w:val="18"/>
              </w:rPr>
            </w:pPr>
            <w:r w:rsidRPr="008E42E9">
              <w:rPr>
                <w:rFonts w:cstheme="minorHAnsi"/>
                <w:sz w:val="18"/>
                <w:szCs w:val="18"/>
              </w:rPr>
              <w:t xml:space="preserve">UE sends a report to NW (for the calculation of performance metric at NW) </w:t>
            </w:r>
          </w:p>
          <w:p w14:paraId="0321D44E" w14:textId="77777777" w:rsidR="004F118B" w:rsidRPr="008E42E9" w:rsidRDefault="004F118B" w:rsidP="003A00DB">
            <w:pPr>
              <w:pStyle w:val="B3"/>
              <w:numPr>
                <w:ilvl w:val="3"/>
                <w:numId w:val="26"/>
              </w:numPr>
              <w:snapToGrid w:val="0"/>
              <w:spacing w:after="0" w:line="100" w:lineRule="atLeast"/>
              <w:jc w:val="both"/>
              <w:rPr>
                <w:rFonts w:cstheme="minorHAnsi"/>
                <w:color w:val="FF0000"/>
                <w:sz w:val="18"/>
                <w:szCs w:val="18"/>
              </w:rPr>
            </w:pPr>
            <w:r w:rsidRPr="008E42E9">
              <w:rPr>
                <w:rFonts w:cstheme="minorHAnsi"/>
                <w:color w:val="FF0000"/>
                <w:sz w:val="18"/>
                <w:szCs w:val="18"/>
              </w:rPr>
              <w:t>Measurement results</w:t>
            </w:r>
            <w:r w:rsidRPr="008E42E9">
              <w:rPr>
                <w:rFonts w:cstheme="minorHAnsi"/>
                <w:color w:val="FF0000"/>
                <w:sz w:val="18"/>
                <w:szCs w:val="18"/>
                <w:lang w:eastAsia="zh-CN"/>
              </w:rPr>
              <w:t xml:space="preserve"> from resource set for monitoring,</w:t>
            </w:r>
            <w:r w:rsidRPr="008E42E9">
              <w:rPr>
                <w:rFonts w:cstheme="minorHAnsi"/>
                <w:color w:val="FF0000"/>
                <w:sz w:val="18"/>
                <w:szCs w:val="18"/>
              </w:rPr>
              <w:t xml:space="preserve"> e.g., L1-RSRP and/or </w:t>
            </w:r>
            <w:r w:rsidRPr="008E42E9">
              <w:rPr>
                <w:rFonts w:cstheme="minorHAnsi"/>
                <w:color w:val="FF0000"/>
                <w:sz w:val="18"/>
                <w:szCs w:val="18"/>
                <w:lang w:eastAsia="zh-CN"/>
              </w:rPr>
              <w:t>RS</w:t>
            </w:r>
            <w:r w:rsidRPr="008E42E9">
              <w:rPr>
                <w:rFonts w:cstheme="minorHAnsi"/>
                <w:color w:val="FF0000"/>
                <w:sz w:val="18"/>
                <w:szCs w:val="18"/>
              </w:rPr>
              <w:t xml:space="preserve"> index is supported as the content of the report</w:t>
            </w:r>
          </w:p>
          <w:p w14:paraId="43DA6D0F" w14:textId="77777777" w:rsidR="004F118B" w:rsidRPr="008E42E9" w:rsidRDefault="004F118B" w:rsidP="003A00DB">
            <w:pPr>
              <w:pStyle w:val="B3"/>
              <w:numPr>
                <w:ilvl w:val="3"/>
                <w:numId w:val="26"/>
              </w:numPr>
              <w:snapToGrid w:val="0"/>
              <w:spacing w:after="0" w:line="100" w:lineRule="atLeast"/>
              <w:jc w:val="both"/>
              <w:rPr>
                <w:rFonts w:cstheme="minorHAnsi"/>
                <w:sz w:val="18"/>
                <w:szCs w:val="18"/>
              </w:rPr>
            </w:pPr>
            <w:r w:rsidRPr="008E42E9">
              <w:rPr>
                <w:rFonts w:cstheme="minorHAnsi"/>
                <w:sz w:val="18"/>
                <w:szCs w:val="18"/>
              </w:rPr>
              <w:t>FFS on other contents</w:t>
            </w:r>
            <w:r w:rsidRPr="008E42E9">
              <w:rPr>
                <w:rFonts w:cstheme="minorHAnsi"/>
                <w:sz w:val="18"/>
                <w:szCs w:val="18"/>
                <w:lang w:eastAsia="zh-CN"/>
              </w:rPr>
              <w:t xml:space="preserve"> </w:t>
            </w:r>
          </w:p>
          <w:p w14:paraId="2D969F2F" w14:textId="77777777" w:rsidR="004F118B" w:rsidRPr="008E42E9" w:rsidRDefault="004F118B" w:rsidP="003A00DB">
            <w:pPr>
              <w:pStyle w:val="B3"/>
              <w:numPr>
                <w:ilvl w:val="2"/>
                <w:numId w:val="26"/>
              </w:numPr>
              <w:snapToGrid w:val="0"/>
              <w:spacing w:after="0" w:line="100" w:lineRule="atLeast"/>
              <w:jc w:val="both"/>
              <w:rPr>
                <w:rFonts w:cstheme="minorHAnsi"/>
                <w:sz w:val="18"/>
                <w:szCs w:val="18"/>
              </w:rPr>
            </w:pPr>
            <w:r w:rsidRPr="008E42E9">
              <w:rPr>
                <w:rFonts w:cstheme="minorHAnsi"/>
                <w:sz w:val="18"/>
                <w:szCs w:val="18"/>
              </w:rPr>
              <w:t>The report is at least configured/triggered by NW</w:t>
            </w:r>
          </w:p>
          <w:p w14:paraId="0665AA8A" w14:textId="77777777" w:rsidR="004F118B" w:rsidRPr="008E42E9" w:rsidRDefault="004F118B" w:rsidP="003A00DB">
            <w:pPr>
              <w:pStyle w:val="B3"/>
              <w:numPr>
                <w:ilvl w:val="2"/>
                <w:numId w:val="26"/>
              </w:numPr>
              <w:snapToGrid w:val="0"/>
              <w:spacing w:after="0" w:line="100" w:lineRule="atLeast"/>
              <w:jc w:val="both"/>
              <w:rPr>
                <w:rFonts w:cstheme="minorHAnsi"/>
                <w:sz w:val="18"/>
                <w:szCs w:val="18"/>
              </w:rPr>
            </w:pPr>
            <w:r w:rsidRPr="008E42E9">
              <w:rPr>
                <w:rFonts w:cstheme="minorHAnsi"/>
                <w:sz w:val="18"/>
                <w:szCs w:val="18"/>
              </w:rPr>
              <w:t xml:space="preserve">Note: </w:t>
            </w:r>
            <w:r w:rsidRPr="008E42E9">
              <w:rPr>
                <w:rFonts w:cstheme="minorHAnsi"/>
                <w:color w:val="FF0000"/>
                <w:sz w:val="18"/>
                <w:szCs w:val="18"/>
              </w:rPr>
              <w:t>this may or may not have additional spec impact</w:t>
            </w:r>
          </w:p>
          <w:p w14:paraId="054C2928" w14:textId="77777777" w:rsidR="004F118B" w:rsidRPr="008E42E9" w:rsidRDefault="004F118B" w:rsidP="003A00DB">
            <w:pPr>
              <w:pStyle w:val="B3"/>
              <w:numPr>
                <w:ilvl w:val="1"/>
                <w:numId w:val="26"/>
              </w:numPr>
              <w:snapToGrid w:val="0"/>
              <w:spacing w:after="0" w:line="100" w:lineRule="atLeast"/>
              <w:jc w:val="both"/>
              <w:rPr>
                <w:rFonts w:cstheme="minorHAnsi"/>
                <w:sz w:val="18"/>
                <w:szCs w:val="18"/>
              </w:rPr>
            </w:pPr>
            <w:r w:rsidRPr="008E42E9">
              <w:rPr>
                <w:rFonts w:cstheme="minorHAnsi"/>
                <w:sz w:val="18"/>
                <w:szCs w:val="18"/>
              </w:rPr>
              <w:t xml:space="preserve">Option 2 (UE-assisted performance monitoring): </w:t>
            </w:r>
          </w:p>
          <w:p w14:paraId="55D39FC6" w14:textId="77777777" w:rsidR="004F118B" w:rsidRPr="008E42E9" w:rsidRDefault="004F118B" w:rsidP="003A00DB">
            <w:pPr>
              <w:pStyle w:val="B3"/>
              <w:numPr>
                <w:ilvl w:val="2"/>
                <w:numId w:val="26"/>
              </w:numPr>
              <w:snapToGrid w:val="0"/>
              <w:spacing w:after="0" w:line="100" w:lineRule="atLeast"/>
              <w:jc w:val="both"/>
              <w:rPr>
                <w:rFonts w:cstheme="minorHAnsi"/>
                <w:sz w:val="18"/>
                <w:szCs w:val="18"/>
              </w:rPr>
            </w:pPr>
            <w:r w:rsidRPr="008E42E9">
              <w:rPr>
                <w:rFonts w:cstheme="minorHAnsi"/>
                <w:sz w:val="18"/>
                <w:szCs w:val="18"/>
              </w:rPr>
              <w:t xml:space="preserve">UE calculates performance metric(s) </w:t>
            </w:r>
          </w:p>
          <w:p w14:paraId="32A54A45" w14:textId="77777777" w:rsidR="004F118B" w:rsidRPr="008E42E9" w:rsidRDefault="004F118B" w:rsidP="003A00DB">
            <w:pPr>
              <w:pStyle w:val="B3"/>
              <w:numPr>
                <w:ilvl w:val="3"/>
                <w:numId w:val="26"/>
              </w:numPr>
              <w:snapToGrid w:val="0"/>
              <w:spacing w:after="0" w:line="100" w:lineRule="atLeast"/>
              <w:jc w:val="both"/>
              <w:rPr>
                <w:rFonts w:cstheme="minorHAnsi"/>
                <w:sz w:val="18"/>
                <w:szCs w:val="18"/>
              </w:rPr>
            </w:pPr>
            <w:r w:rsidRPr="008E42E9">
              <w:rPr>
                <w:rFonts w:cstheme="minorHAnsi"/>
                <w:sz w:val="18"/>
                <w:szCs w:val="18"/>
              </w:rPr>
              <w:t xml:space="preserve">FFS how to report and what to report </w:t>
            </w:r>
          </w:p>
          <w:p w14:paraId="0A1EFCA8" w14:textId="77777777" w:rsidR="004F118B" w:rsidRPr="008E42E9" w:rsidRDefault="004F118B" w:rsidP="003A00DB">
            <w:pPr>
              <w:pStyle w:val="B3"/>
              <w:numPr>
                <w:ilvl w:val="1"/>
                <w:numId w:val="26"/>
              </w:numPr>
              <w:snapToGrid w:val="0"/>
              <w:spacing w:after="0" w:line="100" w:lineRule="atLeast"/>
              <w:jc w:val="both"/>
              <w:rPr>
                <w:rFonts w:cstheme="minorHAnsi"/>
                <w:sz w:val="18"/>
                <w:szCs w:val="18"/>
              </w:rPr>
            </w:pPr>
            <w:r w:rsidRPr="008E42E9">
              <w:rPr>
                <w:rFonts w:cstheme="minorHAnsi"/>
                <w:sz w:val="18"/>
                <w:szCs w:val="18"/>
              </w:rPr>
              <w:t>FFS whether to trigger the report based on event(s) for Option 1 and/or Option 2</w:t>
            </w:r>
          </w:p>
          <w:p w14:paraId="6C96D380" w14:textId="7049F702" w:rsidR="004F118B" w:rsidRPr="004458A8" w:rsidRDefault="004F118B" w:rsidP="004458A8">
            <w:pPr>
              <w:pStyle w:val="B1"/>
              <w:numPr>
                <w:ilvl w:val="0"/>
                <w:numId w:val="26"/>
              </w:numPr>
              <w:snapToGrid w:val="0"/>
              <w:spacing w:after="0" w:line="100" w:lineRule="atLeast"/>
              <w:jc w:val="both"/>
              <w:rPr>
                <w:rFonts w:asciiTheme="minorHAnsi" w:hAnsiTheme="minorHAnsi" w:cstheme="minorHAnsi"/>
                <w:sz w:val="18"/>
                <w:szCs w:val="18"/>
                <w:lang w:eastAsia="de-DE"/>
              </w:rPr>
            </w:pPr>
            <w:r w:rsidRPr="008E42E9">
              <w:rPr>
                <w:rFonts w:asciiTheme="minorHAnsi" w:hAnsiTheme="minorHAnsi" w:cstheme="minorHAnsi"/>
                <w:sz w:val="18"/>
                <w:szCs w:val="18"/>
                <w:lang w:eastAsia="de-DE"/>
              </w:rPr>
              <w:t>FFS Type 2 performance monitoring</w:t>
            </w:r>
          </w:p>
        </w:tc>
      </w:tr>
    </w:tbl>
    <w:p w14:paraId="425F6C14" w14:textId="51121685" w:rsidR="004F118B" w:rsidRDefault="004F118B" w:rsidP="002770E2">
      <w:pPr>
        <w:jc w:val="both"/>
        <w:rPr>
          <w:lang w:eastAsia="en-US"/>
        </w:rPr>
      </w:pPr>
    </w:p>
    <w:p w14:paraId="3DF6BCCA" w14:textId="48F0068F" w:rsidR="004F118B" w:rsidRDefault="00A27044" w:rsidP="002770E2">
      <w:pPr>
        <w:jc w:val="both"/>
        <w:rPr>
          <w:lang w:eastAsia="en-US"/>
        </w:rPr>
      </w:pPr>
      <w:r>
        <w:rPr>
          <w:lang w:eastAsia="en-US"/>
        </w:rPr>
        <w:t>Looking at RAN1 agreements</w:t>
      </w:r>
      <w:r w:rsidR="006F7E06">
        <w:rPr>
          <w:lang w:eastAsia="en-US"/>
        </w:rPr>
        <w:t xml:space="preserve"> (especially highlighted in red above)</w:t>
      </w:r>
      <w:r>
        <w:rPr>
          <w:lang w:eastAsia="en-US"/>
        </w:rPr>
        <w:t xml:space="preserve">, for all options, the reporting of performance monitoring is configured within CSI report configuration. It can be interpreted that L1 signaling is used to report performance monitoring. </w:t>
      </w:r>
    </w:p>
    <w:p w14:paraId="676A4942" w14:textId="322FF5CC" w:rsidR="006F7E06" w:rsidRPr="006F7E06" w:rsidRDefault="006F7E06" w:rsidP="002770E2">
      <w:pPr>
        <w:jc w:val="both"/>
        <w:rPr>
          <w:b/>
          <w:lang w:eastAsia="en-US"/>
        </w:rPr>
      </w:pPr>
      <w:r w:rsidRPr="006F7E06">
        <w:rPr>
          <w:b/>
          <w:lang w:eastAsia="en-US"/>
        </w:rPr>
        <w:lastRenderedPageBreak/>
        <w:t xml:space="preserve">Observation: RAN1 agreed to support L1 signaling to report measurement results for Type 1 performance monitoring. </w:t>
      </w:r>
    </w:p>
    <w:p w14:paraId="2D5B5342" w14:textId="1B6F64F2" w:rsidR="006F7E06" w:rsidRDefault="006F7E06" w:rsidP="002770E2">
      <w:pPr>
        <w:jc w:val="both"/>
        <w:rPr>
          <w:lang w:eastAsia="en-US"/>
        </w:rPr>
      </w:pPr>
      <w:r>
        <w:rPr>
          <w:lang w:eastAsia="en-US"/>
        </w:rPr>
        <w:t xml:space="preserve">Given that reporting of performance monitoring is based on L1 signaling, if additional procedure on top of existing CSI reporting framework is needed, RAN1 should discuss and conclude.  </w:t>
      </w:r>
    </w:p>
    <w:p w14:paraId="0EADA742" w14:textId="711919BB" w:rsidR="005C012F" w:rsidRPr="006F7E06" w:rsidRDefault="00A27044" w:rsidP="002770E2">
      <w:pPr>
        <w:jc w:val="both"/>
        <w:rPr>
          <w:b/>
          <w:lang w:eastAsia="en-US"/>
        </w:rPr>
      </w:pPr>
      <w:r w:rsidRPr="006F7E06">
        <w:rPr>
          <w:b/>
          <w:lang w:eastAsia="en-US"/>
        </w:rPr>
        <w:t>Proposal</w:t>
      </w:r>
      <w:r w:rsidR="008D67B2">
        <w:rPr>
          <w:b/>
          <w:lang w:eastAsia="en-US"/>
        </w:rPr>
        <w:t xml:space="preserve"> </w:t>
      </w:r>
      <w:r w:rsidR="008D67B2" w:rsidRPr="00762AF2">
        <w:rPr>
          <w:rFonts w:cs="Calibri"/>
          <w:b/>
          <w:bCs/>
        </w:rPr>
        <w:fldChar w:fldCharType="begin"/>
      </w:r>
      <w:r w:rsidR="008D67B2" w:rsidRPr="00762AF2">
        <w:rPr>
          <w:rFonts w:cs="Calibri"/>
          <w:b/>
          <w:bCs/>
        </w:rPr>
        <w:instrText xml:space="preserve"> SEQ pro \* MERGEFORMAT  \* MERGEFORMAT </w:instrText>
      </w:r>
      <w:r w:rsidR="008D67B2" w:rsidRPr="00762AF2">
        <w:rPr>
          <w:rFonts w:cs="Calibri"/>
          <w:b/>
          <w:bCs/>
        </w:rPr>
        <w:fldChar w:fldCharType="separate"/>
      </w:r>
      <w:r w:rsidR="006C6134">
        <w:rPr>
          <w:rFonts w:cs="Calibri"/>
          <w:b/>
          <w:bCs/>
          <w:noProof/>
        </w:rPr>
        <w:t>3</w:t>
      </w:r>
      <w:r w:rsidR="008D67B2" w:rsidRPr="00762AF2">
        <w:rPr>
          <w:rFonts w:cs="Calibri"/>
          <w:b/>
          <w:bCs/>
        </w:rPr>
        <w:fldChar w:fldCharType="end"/>
      </w:r>
      <w:r w:rsidRPr="006F7E06">
        <w:rPr>
          <w:b/>
          <w:lang w:eastAsia="en-US"/>
        </w:rPr>
        <w:t xml:space="preserve">: RAN2 wait until RAN1 provides further details on </w:t>
      </w:r>
      <w:r w:rsidR="0000785D">
        <w:rPr>
          <w:b/>
          <w:lang w:eastAsia="en-US"/>
        </w:rPr>
        <w:t xml:space="preserve">required spec impacts for </w:t>
      </w:r>
      <w:r w:rsidRPr="006F7E06">
        <w:rPr>
          <w:b/>
          <w:lang w:eastAsia="en-US"/>
        </w:rPr>
        <w:t>performance monitoring</w:t>
      </w:r>
      <w:r w:rsidR="0000785D">
        <w:rPr>
          <w:b/>
          <w:lang w:eastAsia="en-US"/>
        </w:rPr>
        <w:t xml:space="preserve"> related</w:t>
      </w:r>
      <w:r w:rsidRPr="006F7E06">
        <w:rPr>
          <w:b/>
          <w:lang w:eastAsia="en-US"/>
        </w:rPr>
        <w:t xml:space="preserve">. </w:t>
      </w:r>
    </w:p>
    <w:p w14:paraId="418FE476" w14:textId="778DA601" w:rsidR="00EB6F6F" w:rsidRDefault="00EB6F6F" w:rsidP="00EB6F6F">
      <w:pPr>
        <w:pStyle w:val="Heading1"/>
        <w:numPr>
          <w:ilvl w:val="0"/>
          <w:numId w:val="3"/>
        </w:numPr>
      </w:pPr>
      <w:r>
        <w:t>Data collection</w:t>
      </w:r>
      <w:r w:rsidR="006C6134">
        <w:t xml:space="preserve"> configuration</w:t>
      </w:r>
      <w:r>
        <w:t xml:space="preserve"> for training</w:t>
      </w:r>
    </w:p>
    <w:p w14:paraId="295CCA07" w14:textId="66ED556E" w:rsidR="004E3EF3" w:rsidRDefault="004E3EF3" w:rsidP="00BB5F90">
      <w:r>
        <w:t xml:space="preserve">In RAN2 #127bis, RAN2 made the following agreement regarding data collection </w:t>
      </w:r>
      <w:r w:rsidR="004D2EEF">
        <w:t xml:space="preserve">configuration </w:t>
      </w:r>
      <w:r>
        <w:t xml:space="preserve">for training. </w:t>
      </w:r>
    </w:p>
    <w:tbl>
      <w:tblPr>
        <w:tblStyle w:val="TableGrid"/>
        <w:tblW w:w="0" w:type="auto"/>
        <w:tblLook w:val="04A0" w:firstRow="1" w:lastRow="0" w:firstColumn="1" w:lastColumn="0" w:noHBand="0" w:noVBand="1"/>
      </w:tblPr>
      <w:tblGrid>
        <w:gridCol w:w="9350"/>
      </w:tblGrid>
      <w:tr w:rsidR="004E3EF3" w14:paraId="598DD700" w14:textId="77777777" w:rsidTr="004E3EF3">
        <w:tc>
          <w:tcPr>
            <w:tcW w:w="9350" w:type="dxa"/>
          </w:tcPr>
          <w:p w14:paraId="764F416D" w14:textId="0E7024F7" w:rsidR="004E3EF3" w:rsidRPr="00162CD9" w:rsidRDefault="004E3EF3" w:rsidP="00162CD9">
            <w:pPr>
              <w:pStyle w:val="Agreement"/>
              <w:numPr>
                <w:ilvl w:val="0"/>
                <w:numId w:val="0"/>
              </w:numPr>
              <w:ind w:left="360" w:hanging="360"/>
              <w:rPr>
                <w:b w:val="0"/>
              </w:rPr>
            </w:pPr>
            <w:r w:rsidRPr="006E30FA">
              <w:rPr>
                <w:b w:val="0"/>
              </w:rPr>
              <w:t xml:space="preserve">Data collection initiation and configuration for data collection is under network control.  FFS how the NW determines whether data collection should be initiated (e.g. via UE requests (UE directly or UE server)  </w:t>
            </w:r>
          </w:p>
        </w:tc>
      </w:tr>
    </w:tbl>
    <w:p w14:paraId="4EABB887" w14:textId="55C106FB" w:rsidR="004E3EF3" w:rsidRDefault="004E3EF3" w:rsidP="00BB5F90"/>
    <w:p w14:paraId="6935A180" w14:textId="7A617C1D" w:rsidR="004E3EF3" w:rsidRDefault="00162CD9" w:rsidP="00BB5F90">
      <w:r>
        <w:t xml:space="preserve">During the discussion, it was not clearly concluded about the possibility of data collection without </w:t>
      </w:r>
      <w:r w:rsidR="00204FE8">
        <w:t xml:space="preserve">dedicate </w:t>
      </w:r>
      <w:r w:rsidR="00111B7A">
        <w:t>NW configuration for training</w:t>
      </w:r>
      <w:r>
        <w:t xml:space="preserve">. </w:t>
      </w:r>
    </w:p>
    <w:p w14:paraId="74511447" w14:textId="167B1FFA" w:rsidR="006877B6" w:rsidRDefault="00162CD9" w:rsidP="00BB5F90">
      <w:r>
        <w:t>Depending on UE implementation especially in the beginning of AI/ML implementation, there is a possibility that t</w:t>
      </w:r>
      <w:r w:rsidR="006E30FA">
        <w:t xml:space="preserve">he UE vendor may train UE side model via offline training and collect data for training without dedicate network configuration. </w:t>
      </w:r>
      <w:r w:rsidR="00094B57">
        <w:t xml:space="preserve">For this approach, the UE vendor could coordinate with NW vendors to get specific network configuration information (especially NW additional condition) and collect data set. </w:t>
      </w:r>
      <w:r w:rsidR="00094B57" w:rsidRPr="006877B6">
        <w:rPr>
          <w:rStyle w:val="CommentReference"/>
          <w:sz w:val="22"/>
          <w:szCs w:val="22"/>
        </w:rPr>
        <w:t>Alternatively</w:t>
      </w:r>
      <w:r w:rsidR="006E30FA">
        <w:t xml:space="preserve">, the UE can collect measurement results while it is operated with legacy configuration (i.e. non-AI/ML feature).  </w:t>
      </w:r>
      <w:r>
        <w:t xml:space="preserve">In order to fully utilize AI/ML technology, 3GPP should be also open for </w:t>
      </w:r>
      <w:r w:rsidR="0015154E">
        <w:t xml:space="preserve">the case where AI/ML </w:t>
      </w:r>
      <w:r>
        <w:t xml:space="preserve">model </w:t>
      </w:r>
      <w:r w:rsidR="0015154E">
        <w:t xml:space="preserve">is </w:t>
      </w:r>
      <w:r>
        <w:t xml:space="preserve">trained by offline data collection without </w:t>
      </w:r>
      <w:r w:rsidR="00204FE8">
        <w:t xml:space="preserve">dedicate </w:t>
      </w:r>
      <w:r>
        <w:t xml:space="preserve">NW </w:t>
      </w:r>
      <w:r w:rsidR="006877B6">
        <w:t>configuration</w:t>
      </w:r>
      <w:r>
        <w:t>.</w:t>
      </w:r>
      <w:r w:rsidR="006877B6">
        <w:t xml:space="preserve"> In this case, there could be no standard impact.</w:t>
      </w:r>
      <w:r>
        <w:t xml:space="preserve"> </w:t>
      </w:r>
    </w:p>
    <w:p w14:paraId="0FF77EB9" w14:textId="06B71120" w:rsidR="00204FE8" w:rsidRDefault="00162CD9" w:rsidP="00162CD9">
      <w:pPr>
        <w:rPr>
          <w:b/>
        </w:rPr>
      </w:pPr>
      <w:r w:rsidRPr="00F617B9">
        <w:rPr>
          <w:b/>
        </w:rPr>
        <w:t>Proposal</w:t>
      </w:r>
      <w:r>
        <w:rPr>
          <w:b/>
        </w:rPr>
        <w:t xml:space="preserve"> </w:t>
      </w:r>
      <w:r w:rsidRPr="00762AF2">
        <w:rPr>
          <w:rFonts w:cs="Calibri"/>
          <w:b/>
          <w:bCs/>
        </w:rPr>
        <w:fldChar w:fldCharType="begin"/>
      </w:r>
      <w:r w:rsidRPr="00762AF2">
        <w:rPr>
          <w:rFonts w:cs="Calibri"/>
          <w:b/>
          <w:bCs/>
        </w:rPr>
        <w:instrText xml:space="preserve"> SEQ pro \* MERGEFORMAT  \* MERGEFORMAT </w:instrText>
      </w:r>
      <w:r w:rsidRPr="00762AF2">
        <w:rPr>
          <w:rFonts w:cs="Calibri"/>
          <w:b/>
          <w:bCs/>
        </w:rPr>
        <w:fldChar w:fldCharType="separate"/>
      </w:r>
      <w:r w:rsidR="006C6134">
        <w:rPr>
          <w:rFonts w:cs="Calibri"/>
          <w:b/>
          <w:bCs/>
          <w:noProof/>
        </w:rPr>
        <w:t>4</w:t>
      </w:r>
      <w:r w:rsidRPr="00762AF2">
        <w:rPr>
          <w:rFonts w:cs="Calibri"/>
          <w:b/>
          <w:bCs/>
        </w:rPr>
        <w:fldChar w:fldCharType="end"/>
      </w:r>
      <w:r w:rsidRPr="00F617B9">
        <w:rPr>
          <w:b/>
        </w:rPr>
        <w:t xml:space="preserve">: </w:t>
      </w:r>
      <w:r w:rsidR="0015154E">
        <w:rPr>
          <w:b/>
        </w:rPr>
        <w:t>RAN2 confirm that i</w:t>
      </w:r>
      <w:r>
        <w:rPr>
          <w:b/>
        </w:rPr>
        <w:t xml:space="preserve">t is also possible that UE sided model can be trained without </w:t>
      </w:r>
      <w:r w:rsidR="00204FE8">
        <w:rPr>
          <w:b/>
        </w:rPr>
        <w:t xml:space="preserve">dedicate </w:t>
      </w:r>
      <w:r>
        <w:rPr>
          <w:b/>
        </w:rPr>
        <w:t xml:space="preserve">NW </w:t>
      </w:r>
      <w:r w:rsidR="00204FE8">
        <w:rPr>
          <w:b/>
        </w:rPr>
        <w:t xml:space="preserve">configuration </w:t>
      </w:r>
      <w:r>
        <w:rPr>
          <w:b/>
        </w:rPr>
        <w:t>for data collection</w:t>
      </w:r>
      <w:r w:rsidR="0015154E">
        <w:rPr>
          <w:b/>
        </w:rPr>
        <w:t xml:space="preserve"> and</w:t>
      </w:r>
      <w:r w:rsidR="00204FE8">
        <w:rPr>
          <w:b/>
        </w:rPr>
        <w:t xml:space="preserve"> no standard impact is expected.</w:t>
      </w:r>
    </w:p>
    <w:p w14:paraId="6CBEFBB3" w14:textId="063EDA1F" w:rsidR="006C6134" w:rsidRDefault="0015154E" w:rsidP="00BB5F90">
      <w:r>
        <w:t>In the previous RAN2 agreement, i</w:t>
      </w:r>
      <w:r w:rsidR="00436777">
        <w:t xml:space="preserve">t is FFS how the NW determines whether data collection </w:t>
      </w:r>
      <w:r w:rsidR="006C6134">
        <w:t xml:space="preserve">configuration </w:t>
      </w:r>
      <w:r w:rsidR="00436777">
        <w:t xml:space="preserve">should be initiated. </w:t>
      </w:r>
      <w:r w:rsidR="00D976B0">
        <w:t xml:space="preserve">During the discussion, UE </w:t>
      </w:r>
      <w:r>
        <w:t>request-based</w:t>
      </w:r>
      <w:r w:rsidR="00D976B0">
        <w:t xml:space="preserve"> data collection</w:t>
      </w:r>
      <w:r w:rsidR="006C6134">
        <w:t xml:space="preserve"> configuration</w:t>
      </w:r>
      <w:r w:rsidR="00D976B0">
        <w:t xml:space="preserve"> was mentioned</w:t>
      </w:r>
      <w:r>
        <w:t xml:space="preserve"> and added as an example in the agreement</w:t>
      </w:r>
      <w:r w:rsidR="00D976B0">
        <w:t>.</w:t>
      </w:r>
      <w:r w:rsidR="006C6134">
        <w:t xml:space="preserve"> </w:t>
      </w:r>
    </w:p>
    <w:p w14:paraId="02C319CC" w14:textId="50C3E51C" w:rsidR="006C6134" w:rsidRDefault="006C6134" w:rsidP="00BB5F90">
      <w:r>
        <w:t xml:space="preserve">Technically, we could compare both UE request-based data collection configuration and NW requested data collection configuration. </w:t>
      </w:r>
    </w:p>
    <w:p w14:paraId="70F4A707" w14:textId="7730C461" w:rsidR="006C6134" w:rsidRDefault="006C6134" w:rsidP="006C6134">
      <w:pPr>
        <w:pStyle w:val="ListParagraph"/>
        <w:numPr>
          <w:ilvl w:val="0"/>
          <w:numId w:val="29"/>
        </w:numPr>
        <w:jc w:val="both"/>
      </w:pPr>
      <w:r>
        <w:t xml:space="preserve">UE request-based data collection configuration: </w:t>
      </w:r>
      <w:r w:rsidR="0015154E">
        <w:t>UE should be able to know which functionality can be applicable or not based on the current procedure for inference</w:t>
      </w:r>
      <w:r w:rsidR="000C68C9">
        <w:t>. Therefore,</w:t>
      </w:r>
      <w:r w:rsidR="0015154E">
        <w:t xml:space="preserve"> i</w:t>
      </w:r>
      <w:r w:rsidR="00D976B0">
        <w:t xml:space="preserve">t is straightforward that UE indicates the need of training for certain functionality. </w:t>
      </w:r>
    </w:p>
    <w:p w14:paraId="4FDFA98C" w14:textId="0D0C6A92" w:rsidR="00D976B0" w:rsidRDefault="006C6134" w:rsidP="006C6134">
      <w:pPr>
        <w:pStyle w:val="ListParagraph"/>
        <w:numPr>
          <w:ilvl w:val="0"/>
          <w:numId w:val="29"/>
        </w:numPr>
        <w:jc w:val="both"/>
      </w:pPr>
      <w:r>
        <w:t>NW request-based data collection configuration: NW might be able to</w:t>
      </w:r>
      <w:r w:rsidR="00D976B0">
        <w:t xml:space="preserve"> identify functionality that requires further training based on UE reporting of applicable functionality. </w:t>
      </w:r>
      <w:r w:rsidR="0077598E">
        <w:t xml:space="preserve">However, even in this case, before NW provides data collection configuration, NW </w:t>
      </w:r>
      <w:r w:rsidR="0015154E">
        <w:t>needs to</w:t>
      </w:r>
      <w:r w:rsidR="0077598E">
        <w:t xml:space="preserve"> know whether UE is capable of training model to support a certain non-applicable functionality. </w:t>
      </w:r>
      <w:r w:rsidR="005D2539">
        <w:t xml:space="preserve">In addition, </w:t>
      </w:r>
      <w:r w:rsidR="00DF529A">
        <w:t xml:space="preserve">even </w:t>
      </w:r>
      <w:r w:rsidR="005D2539">
        <w:t xml:space="preserve">when UE </w:t>
      </w:r>
      <w:r w:rsidR="005D2539">
        <w:lastRenderedPageBreak/>
        <w:t>does not report as applicable functionality, UE server may have a trained model. In this case, model training is not needed, and instead model transfer from UE server to UE is needed.</w:t>
      </w:r>
    </w:p>
    <w:p w14:paraId="6F371B29" w14:textId="5060AE66" w:rsidR="006C6134" w:rsidRDefault="006C6134" w:rsidP="006C6134">
      <w:r>
        <w:t xml:space="preserve">Given that UE has more information about whether data collection configuration is needed or not, it is reasonable for NW to determines to provide data collection configuration for training based on UE-request. </w:t>
      </w:r>
    </w:p>
    <w:p w14:paraId="4147F73A" w14:textId="27FC172F" w:rsidR="0077598E" w:rsidRDefault="0077598E" w:rsidP="0077598E">
      <w:pPr>
        <w:rPr>
          <w:b/>
        </w:rPr>
      </w:pPr>
      <w:r w:rsidRPr="00F617B9">
        <w:rPr>
          <w:b/>
        </w:rPr>
        <w:t>Proposal</w:t>
      </w:r>
      <w:r>
        <w:rPr>
          <w:b/>
        </w:rPr>
        <w:t xml:space="preserve"> </w:t>
      </w:r>
      <w:r w:rsidRPr="00762AF2">
        <w:rPr>
          <w:rFonts w:cs="Calibri"/>
          <w:b/>
          <w:bCs/>
        </w:rPr>
        <w:fldChar w:fldCharType="begin"/>
      </w:r>
      <w:r w:rsidRPr="00762AF2">
        <w:rPr>
          <w:rFonts w:cs="Calibri"/>
          <w:b/>
          <w:bCs/>
        </w:rPr>
        <w:instrText xml:space="preserve"> SEQ pro \* MERGEFORMAT  \* MERGEFORMAT </w:instrText>
      </w:r>
      <w:r w:rsidRPr="00762AF2">
        <w:rPr>
          <w:rFonts w:cs="Calibri"/>
          <w:b/>
          <w:bCs/>
        </w:rPr>
        <w:fldChar w:fldCharType="separate"/>
      </w:r>
      <w:r w:rsidR="006C6134">
        <w:rPr>
          <w:rFonts w:cs="Calibri"/>
          <w:b/>
          <w:bCs/>
          <w:noProof/>
        </w:rPr>
        <w:t>5</w:t>
      </w:r>
      <w:r w:rsidRPr="00762AF2">
        <w:rPr>
          <w:rFonts w:cs="Calibri"/>
          <w:b/>
          <w:bCs/>
        </w:rPr>
        <w:fldChar w:fldCharType="end"/>
      </w:r>
      <w:r w:rsidRPr="00F617B9">
        <w:rPr>
          <w:b/>
        </w:rPr>
        <w:t xml:space="preserve">: RAN2 </w:t>
      </w:r>
      <w:r>
        <w:rPr>
          <w:b/>
        </w:rPr>
        <w:t xml:space="preserve">agree that NW determines to provide </w:t>
      </w:r>
      <w:r w:rsidRPr="0077598E">
        <w:rPr>
          <w:b/>
        </w:rPr>
        <w:t xml:space="preserve">data collection </w:t>
      </w:r>
      <w:r>
        <w:rPr>
          <w:b/>
        </w:rPr>
        <w:t xml:space="preserve">configuration for training via UE request. </w:t>
      </w:r>
    </w:p>
    <w:p w14:paraId="5A904E41" w14:textId="338C3156" w:rsidR="000523BA" w:rsidRDefault="000523BA" w:rsidP="000C68C9">
      <w:pPr>
        <w:jc w:val="both"/>
      </w:pPr>
      <w:bookmarkStart w:id="1" w:name="_GoBack"/>
      <w:r>
        <w:t>The next question is whether which entity (i.e., UE</w:t>
      </w:r>
      <w:r w:rsidR="006C6134">
        <w:t xml:space="preserve"> directly</w:t>
      </w:r>
      <w:r>
        <w:t xml:space="preserve"> vs UE server) requests data collection configuration to NW. </w:t>
      </w:r>
      <w:r w:rsidR="0072156D">
        <w:t>The important aspect to consider</w:t>
      </w:r>
      <w:r>
        <w:t xml:space="preserve"> is </w:t>
      </w:r>
      <w:r w:rsidR="0072156D">
        <w:t xml:space="preserve">that </w:t>
      </w:r>
      <w:r>
        <w:t xml:space="preserve">applicability </w:t>
      </w:r>
      <w:r w:rsidR="0072156D">
        <w:t xml:space="preserve">of functionality </w:t>
      </w:r>
      <w:r>
        <w:t xml:space="preserve">check is done by UE. So, when UE detects inapplicability, </w:t>
      </w:r>
      <w:r w:rsidR="0072156D">
        <w:t xml:space="preserve">it is reasonable for </w:t>
      </w:r>
      <w:r>
        <w:t xml:space="preserve">UE </w:t>
      </w:r>
      <w:r w:rsidR="0072156D">
        <w:t xml:space="preserve">to </w:t>
      </w:r>
      <w:r>
        <w:t xml:space="preserve">request data collection configuration to NW in order to train a new model. We also think another scenario where UE server is involved. i.e., when UE detects inapplicability, UE first asks UE server </w:t>
      </w:r>
      <w:r w:rsidR="0072156D">
        <w:t xml:space="preserve">if there is any valid </w:t>
      </w:r>
      <w:r>
        <w:t xml:space="preserve">model. If UE receives the response from UE server that there is no valid model, UE can </w:t>
      </w:r>
      <w:r w:rsidR="0072156D">
        <w:t xml:space="preserve">also </w:t>
      </w:r>
      <w:r>
        <w:t>request data collection configuration to NW. However, even in this scenario, UE should be the one who makes the final decision on the request of data collection configuration. i.e., UE may not request data collection configuration to NW, even after UE server’s response of no valid model</w:t>
      </w:r>
      <w:r w:rsidR="0072156D">
        <w:t xml:space="preserve"> due to UE side conditions e.g. memory, processing power, channel situation, etc.</w:t>
      </w:r>
    </w:p>
    <w:bookmarkEnd w:id="1"/>
    <w:p w14:paraId="70653629" w14:textId="0EEE93E9" w:rsidR="000523BA" w:rsidRDefault="0072156D" w:rsidP="00BB5F90">
      <w:pPr>
        <w:rPr>
          <w:b/>
        </w:rPr>
      </w:pPr>
      <w:r w:rsidRPr="00F617B9">
        <w:rPr>
          <w:b/>
        </w:rPr>
        <w:t>Proposal</w:t>
      </w:r>
      <w:r>
        <w:rPr>
          <w:b/>
        </w:rPr>
        <w:t xml:space="preserve"> </w:t>
      </w:r>
      <w:r w:rsidRPr="00762AF2">
        <w:rPr>
          <w:rFonts w:cs="Calibri"/>
          <w:b/>
          <w:bCs/>
        </w:rPr>
        <w:fldChar w:fldCharType="begin"/>
      </w:r>
      <w:r w:rsidRPr="00762AF2">
        <w:rPr>
          <w:rFonts w:cs="Calibri"/>
          <w:b/>
          <w:bCs/>
        </w:rPr>
        <w:instrText xml:space="preserve"> SEQ pro \* MERGEFORMAT  \* MERGEFORMAT </w:instrText>
      </w:r>
      <w:r w:rsidRPr="00762AF2">
        <w:rPr>
          <w:rFonts w:cs="Calibri"/>
          <w:b/>
          <w:bCs/>
        </w:rPr>
        <w:fldChar w:fldCharType="separate"/>
      </w:r>
      <w:r w:rsidR="006C6134">
        <w:rPr>
          <w:rFonts w:cs="Calibri"/>
          <w:b/>
          <w:bCs/>
          <w:noProof/>
        </w:rPr>
        <w:t>6</w:t>
      </w:r>
      <w:r w:rsidRPr="00762AF2">
        <w:rPr>
          <w:rFonts w:cs="Calibri"/>
          <w:b/>
          <w:bCs/>
        </w:rPr>
        <w:fldChar w:fldCharType="end"/>
      </w:r>
      <w:r w:rsidRPr="00F617B9">
        <w:rPr>
          <w:b/>
        </w:rPr>
        <w:t>:</w:t>
      </w:r>
      <w:r w:rsidRPr="0072156D">
        <w:t xml:space="preserve"> </w:t>
      </w:r>
      <w:r w:rsidRPr="0072156D">
        <w:rPr>
          <w:b/>
        </w:rPr>
        <w:t>The request for data collection configuration to NW is decided/sent by UE</w:t>
      </w:r>
      <w:r w:rsidR="008A5CBB">
        <w:rPr>
          <w:b/>
        </w:rPr>
        <w:t xml:space="preserve"> directly</w:t>
      </w:r>
      <w:r w:rsidRPr="0072156D">
        <w:rPr>
          <w:b/>
        </w:rPr>
        <w:t>.</w:t>
      </w:r>
    </w:p>
    <w:p w14:paraId="50B1BA68" w14:textId="144AD597" w:rsidR="00BB2764" w:rsidRDefault="00BB2764" w:rsidP="00EB6F6F">
      <w:pPr>
        <w:pStyle w:val="Heading1"/>
        <w:numPr>
          <w:ilvl w:val="0"/>
          <w:numId w:val="3"/>
        </w:numPr>
      </w:pPr>
      <w:r>
        <w:t>Conclusion</w:t>
      </w:r>
    </w:p>
    <w:p w14:paraId="15F0B7F5" w14:textId="7A2822B1" w:rsidR="00BB2764" w:rsidRDefault="00BB2764" w:rsidP="00BB2764">
      <w:r>
        <w:t xml:space="preserve">We discussed the following three topics and provide the following proposals. </w:t>
      </w:r>
    </w:p>
    <w:p w14:paraId="44023D83" w14:textId="77777777" w:rsidR="006C6134" w:rsidRDefault="006C6134" w:rsidP="006C6134">
      <w:pPr>
        <w:rPr>
          <w:b/>
          <w:lang w:eastAsia="en-US"/>
        </w:rPr>
      </w:pPr>
    </w:p>
    <w:p w14:paraId="0C422C7D" w14:textId="52077306" w:rsidR="006C6134" w:rsidRPr="006C6134" w:rsidRDefault="006C6134" w:rsidP="006C6134">
      <w:pPr>
        <w:rPr>
          <w:u w:val="single"/>
          <w:lang w:eastAsia="en-US"/>
        </w:rPr>
      </w:pPr>
      <w:r w:rsidRPr="006C6134">
        <w:rPr>
          <w:u w:val="single"/>
          <w:lang w:eastAsia="en-US"/>
        </w:rPr>
        <w:t>RAN1 status on RAN2 LS</w:t>
      </w:r>
    </w:p>
    <w:p w14:paraId="4304F477" w14:textId="4CE1C4A8" w:rsidR="006C6134" w:rsidRPr="00A4499C" w:rsidRDefault="006C6134" w:rsidP="006C6134">
      <w:pPr>
        <w:rPr>
          <w:b/>
          <w:lang w:eastAsia="en-US"/>
        </w:rPr>
      </w:pPr>
      <w:r w:rsidRPr="00A4499C">
        <w:rPr>
          <w:b/>
          <w:lang w:eastAsia="en-US"/>
        </w:rPr>
        <w:t xml:space="preserve">Proposal </w:t>
      </w:r>
      <w:r w:rsidRPr="00A4499C">
        <w:rPr>
          <w:rFonts w:cs="Calibri"/>
          <w:b/>
          <w:bCs/>
        </w:rPr>
        <w:fldChar w:fldCharType="begin"/>
      </w:r>
      <w:r w:rsidRPr="00A4499C">
        <w:rPr>
          <w:rFonts w:cs="Calibri"/>
          <w:b/>
          <w:bCs/>
        </w:rPr>
        <w:instrText xml:space="preserve"> SEQ pro \* MERGEFORMAT  \* MERGEFORMAT </w:instrText>
      </w:r>
      <w:r w:rsidRPr="00A4499C">
        <w:rPr>
          <w:rFonts w:cs="Calibri"/>
          <w:b/>
          <w:bCs/>
        </w:rPr>
        <w:fldChar w:fldCharType="separate"/>
      </w:r>
      <w:r w:rsidRPr="00A4499C">
        <w:rPr>
          <w:rFonts w:cs="Calibri"/>
          <w:b/>
          <w:bCs/>
          <w:noProof/>
        </w:rPr>
        <w:t>1</w:t>
      </w:r>
      <w:r w:rsidRPr="00A4499C">
        <w:rPr>
          <w:rFonts w:cs="Calibri"/>
          <w:b/>
          <w:bCs/>
        </w:rPr>
        <w:fldChar w:fldCharType="end"/>
      </w:r>
      <w:r w:rsidRPr="00A4499C">
        <w:rPr>
          <w:b/>
          <w:lang w:eastAsia="en-US"/>
        </w:rPr>
        <w:t xml:space="preserve">: RAN2 confirms the following understanding based on RAN1 agreements. </w:t>
      </w:r>
    </w:p>
    <w:p w14:paraId="30235791" w14:textId="77777777" w:rsidR="006C6134" w:rsidRPr="00A4499C" w:rsidRDefault="006C6134" w:rsidP="006C6134">
      <w:pPr>
        <w:pStyle w:val="ListParagraph"/>
        <w:numPr>
          <w:ilvl w:val="0"/>
          <w:numId w:val="29"/>
        </w:numPr>
        <w:rPr>
          <w:b/>
        </w:rPr>
      </w:pPr>
      <w:r w:rsidRPr="00A4499C">
        <w:rPr>
          <w:b/>
        </w:rPr>
        <w:t xml:space="preserve">Supported functionality may refer to AI/ML-specific FGs and it may not be the same as other functionality. </w:t>
      </w:r>
    </w:p>
    <w:p w14:paraId="56E32373" w14:textId="77777777" w:rsidR="006C6134" w:rsidRPr="00A4499C" w:rsidRDefault="006C6134" w:rsidP="006C6134">
      <w:pPr>
        <w:pStyle w:val="ListParagraph"/>
        <w:numPr>
          <w:ilvl w:val="0"/>
          <w:numId w:val="29"/>
        </w:numPr>
        <w:rPr>
          <w:b/>
        </w:rPr>
      </w:pPr>
      <w:r w:rsidRPr="00A4499C">
        <w:rPr>
          <w:b/>
        </w:rPr>
        <w:t xml:space="preserve">Activated functionality may refer to CSI Report. </w:t>
      </w:r>
    </w:p>
    <w:p w14:paraId="62D3E172" w14:textId="77777777" w:rsidR="006C6134" w:rsidRPr="00A4499C" w:rsidRDefault="006C6134" w:rsidP="006C6134">
      <w:pPr>
        <w:rPr>
          <w:b/>
          <w:lang w:eastAsia="en-US"/>
        </w:rPr>
      </w:pPr>
      <w:r w:rsidRPr="00A4499C">
        <w:rPr>
          <w:b/>
          <w:lang w:eastAsia="en-US"/>
        </w:rPr>
        <w:t xml:space="preserve">Proposal </w:t>
      </w:r>
      <w:r w:rsidRPr="00A4499C">
        <w:rPr>
          <w:rFonts w:cs="Calibri"/>
          <w:b/>
          <w:bCs/>
        </w:rPr>
        <w:fldChar w:fldCharType="begin"/>
      </w:r>
      <w:r w:rsidRPr="00A4499C">
        <w:rPr>
          <w:rFonts w:cs="Calibri"/>
          <w:b/>
          <w:bCs/>
        </w:rPr>
        <w:instrText xml:space="preserve"> SEQ pro \* MERGEFORMAT  \* MERGEFORMAT </w:instrText>
      </w:r>
      <w:r w:rsidRPr="00A4499C">
        <w:rPr>
          <w:rFonts w:cs="Calibri"/>
          <w:b/>
          <w:bCs/>
        </w:rPr>
        <w:fldChar w:fldCharType="separate"/>
      </w:r>
      <w:r w:rsidRPr="00A4499C">
        <w:rPr>
          <w:rFonts w:cs="Calibri"/>
          <w:b/>
          <w:bCs/>
          <w:noProof/>
        </w:rPr>
        <w:t>2</w:t>
      </w:r>
      <w:r w:rsidRPr="00A4499C">
        <w:rPr>
          <w:rFonts w:cs="Calibri"/>
          <w:b/>
          <w:bCs/>
        </w:rPr>
        <w:fldChar w:fldCharType="end"/>
      </w:r>
      <w:r w:rsidRPr="00A4499C">
        <w:rPr>
          <w:b/>
          <w:lang w:eastAsia="en-US"/>
        </w:rPr>
        <w:t xml:space="preserve">: RAN2 waits further for the definition of applicable functionality i.e. whether applicable functionality refer to CSI Report (same as activated functionality), a set of inference related parameters or information/parameters indicated by </w:t>
      </w:r>
      <w:r w:rsidRPr="00A4499C">
        <w:rPr>
          <w:rFonts w:hint="eastAsia"/>
          <w:b/>
          <w:lang w:eastAsia="en-US"/>
        </w:rPr>
        <w:t>th</w:t>
      </w:r>
      <w:r w:rsidRPr="00A4499C">
        <w:rPr>
          <w:b/>
          <w:lang w:eastAsia="en-US"/>
        </w:rPr>
        <w:t xml:space="preserve">e UE. </w:t>
      </w:r>
    </w:p>
    <w:p w14:paraId="444E0D7B" w14:textId="2A7ED69E" w:rsidR="004F7BF7" w:rsidRPr="006C6134" w:rsidRDefault="006C6134" w:rsidP="006A0451">
      <w:pPr>
        <w:rPr>
          <w:u w:val="single"/>
        </w:rPr>
      </w:pPr>
      <w:r w:rsidRPr="006C6134">
        <w:rPr>
          <w:u w:val="single"/>
        </w:rPr>
        <w:t>Performance monitoring</w:t>
      </w:r>
    </w:p>
    <w:p w14:paraId="6BFEAE24" w14:textId="36FF865F" w:rsidR="006C6134" w:rsidRPr="00A4499C" w:rsidRDefault="006C6134" w:rsidP="006C6134">
      <w:pPr>
        <w:jc w:val="both"/>
        <w:rPr>
          <w:b/>
          <w:lang w:eastAsia="en-US"/>
        </w:rPr>
      </w:pPr>
      <w:r w:rsidRPr="00A4499C">
        <w:rPr>
          <w:b/>
          <w:lang w:eastAsia="en-US"/>
        </w:rPr>
        <w:t xml:space="preserve">Observation: RAN1 agreed to support L1 signaling to report measurement results for Type 1 performance monitoring. </w:t>
      </w:r>
    </w:p>
    <w:p w14:paraId="03D2B572" w14:textId="25E69AD2" w:rsidR="006C6134" w:rsidRPr="00A4499C" w:rsidRDefault="006C6134" w:rsidP="006C6134">
      <w:pPr>
        <w:jc w:val="both"/>
        <w:rPr>
          <w:b/>
          <w:lang w:eastAsia="en-US"/>
        </w:rPr>
      </w:pPr>
      <w:r w:rsidRPr="00A4499C">
        <w:rPr>
          <w:b/>
          <w:lang w:eastAsia="en-US"/>
        </w:rPr>
        <w:t>Proposal 3: RAN2 wait until RAN1 provides further details on required spec impacts for performance monitoring related.</w:t>
      </w:r>
    </w:p>
    <w:p w14:paraId="5F44C321" w14:textId="1CF9D225" w:rsidR="006C6134" w:rsidRPr="006C6134" w:rsidRDefault="006C6134" w:rsidP="006A0451">
      <w:pPr>
        <w:rPr>
          <w:u w:val="single"/>
        </w:rPr>
      </w:pPr>
      <w:r w:rsidRPr="006C6134">
        <w:rPr>
          <w:u w:val="single"/>
        </w:rPr>
        <w:t>Data collection configuration for training</w:t>
      </w:r>
    </w:p>
    <w:p w14:paraId="6E2D683F" w14:textId="242FADAF" w:rsidR="006A0451" w:rsidRPr="00A4499C" w:rsidRDefault="006C6134" w:rsidP="006A0451">
      <w:pPr>
        <w:rPr>
          <w:b/>
        </w:rPr>
      </w:pPr>
      <w:r w:rsidRPr="00A4499C">
        <w:rPr>
          <w:b/>
        </w:rPr>
        <w:lastRenderedPageBreak/>
        <w:t>Proposal 4: RAN2 confirm that it is also possible that UE sided model can be trained without dedicate NW configuration for data collection and no standard impact is expected.</w:t>
      </w:r>
    </w:p>
    <w:p w14:paraId="4D8F21C9" w14:textId="77777777" w:rsidR="006C6134" w:rsidRPr="00A4499C" w:rsidRDefault="006C6134" w:rsidP="006C6134">
      <w:pPr>
        <w:rPr>
          <w:b/>
        </w:rPr>
      </w:pPr>
      <w:r w:rsidRPr="00A4499C">
        <w:rPr>
          <w:b/>
        </w:rPr>
        <w:t xml:space="preserve">Proposal </w:t>
      </w:r>
      <w:r w:rsidRPr="00A4499C">
        <w:rPr>
          <w:rFonts w:cs="Calibri"/>
          <w:b/>
          <w:bCs/>
        </w:rPr>
        <w:fldChar w:fldCharType="begin"/>
      </w:r>
      <w:r w:rsidRPr="00A4499C">
        <w:rPr>
          <w:rFonts w:cs="Calibri"/>
          <w:b/>
          <w:bCs/>
        </w:rPr>
        <w:instrText xml:space="preserve"> SEQ pro \* MERGEFORMAT  \* MERGEFORMAT </w:instrText>
      </w:r>
      <w:r w:rsidRPr="00A4499C">
        <w:rPr>
          <w:rFonts w:cs="Calibri"/>
          <w:b/>
          <w:bCs/>
        </w:rPr>
        <w:fldChar w:fldCharType="separate"/>
      </w:r>
      <w:r w:rsidRPr="00A4499C">
        <w:rPr>
          <w:rFonts w:cs="Calibri"/>
          <w:b/>
          <w:bCs/>
          <w:noProof/>
        </w:rPr>
        <w:t>5</w:t>
      </w:r>
      <w:r w:rsidRPr="00A4499C">
        <w:rPr>
          <w:rFonts w:cs="Calibri"/>
          <w:b/>
          <w:bCs/>
        </w:rPr>
        <w:fldChar w:fldCharType="end"/>
      </w:r>
      <w:r w:rsidRPr="00A4499C">
        <w:rPr>
          <w:b/>
        </w:rPr>
        <w:t xml:space="preserve">: RAN2 agree that NW determines to provide data collection configuration for training via UE request. </w:t>
      </w:r>
    </w:p>
    <w:p w14:paraId="09693555" w14:textId="77777777" w:rsidR="006C6134" w:rsidRPr="00A4499C" w:rsidRDefault="006C6134" w:rsidP="006C6134">
      <w:pPr>
        <w:rPr>
          <w:b/>
        </w:rPr>
      </w:pPr>
      <w:r w:rsidRPr="00A4499C">
        <w:rPr>
          <w:b/>
        </w:rPr>
        <w:t xml:space="preserve">Proposal </w:t>
      </w:r>
      <w:r w:rsidRPr="00A4499C">
        <w:rPr>
          <w:rFonts w:cs="Calibri"/>
          <w:b/>
          <w:bCs/>
        </w:rPr>
        <w:fldChar w:fldCharType="begin"/>
      </w:r>
      <w:r w:rsidRPr="00A4499C">
        <w:rPr>
          <w:rFonts w:cs="Calibri"/>
          <w:b/>
          <w:bCs/>
        </w:rPr>
        <w:instrText xml:space="preserve"> SEQ pro \* MERGEFORMAT  \* MERGEFORMAT </w:instrText>
      </w:r>
      <w:r w:rsidRPr="00A4499C">
        <w:rPr>
          <w:rFonts w:cs="Calibri"/>
          <w:b/>
          <w:bCs/>
        </w:rPr>
        <w:fldChar w:fldCharType="separate"/>
      </w:r>
      <w:r w:rsidRPr="00A4499C">
        <w:rPr>
          <w:rFonts w:cs="Calibri"/>
          <w:b/>
          <w:bCs/>
          <w:noProof/>
        </w:rPr>
        <w:t>6</w:t>
      </w:r>
      <w:r w:rsidRPr="00A4499C">
        <w:rPr>
          <w:rFonts w:cs="Calibri"/>
          <w:b/>
          <w:bCs/>
        </w:rPr>
        <w:fldChar w:fldCharType="end"/>
      </w:r>
      <w:r w:rsidRPr="00A4499C">
        <w:rPr>
          <w:b/>
        </w:rPr>
        <w:t>: The request for data collection configuration to NW is decided/sent by UE directly.</w:t>
      </w:r>
    </w:p>
    <w:p w14:paraId="3320F762" w14:textId="77777777" w:rsidR="006C6134" w:rsidRPr="00FC11E3" w:rsidRDefault="006C6134" w:rsidP="006A0451">
      <w:pPr>
        <w:rPr>
          <w:b/>
        </w:rPr>
      </w:pPr>
    </w:p>
    <w:p w14:paraId="3B2CB5E7" w14:textId="77777777" w:rsidR="00B37E5C" w:rsidRDefault="00B37E5C" w:rsidP="00EB6F6F">
      <w:pPr>
        <w:pStyle w:val="Heading1"/>
        <w:numPr>
          <w:ilvl w:val="0"/>
          <w:numId w:val="3"/>
        </w:numPr>
      </w:pPr>
      <w:r w:rsidRPr="00003523">
        <w:t>Reference</w:t>
      </w:r>
    </w:p>
    <w:p w14:paraId="211D4F0F" w14:textId="243E2186" w:rsidR="00B37E5C" w:rsidRDefault="001C2E57" w:rsidP="00B37E5C">
      <w:r>
        <w:rPr>
          <w:rFonts w:hint="eastAsia"/>
        </w:rPr>
        <w:t>[</w:t>
      </w:r>
      <w:r>
        <w:t xml:space="preserve">1] R2-2407848, </w:t>
      </w:r>
      <w:r w:rsidRPr="001C2E57">
        <w:t>LS on applicable functionality reporting for beam management UE-sided model</w:t>
      </w:r>
      <w:r>
        <w:t>, RAN2#127, August 2024</w:t>
      </w:r>
    </w:p>
    <w:p w14:paraId="07096F6E" w14:textId="77777777" w:rsidR="00791DD6" w:rsidRPr="00B37E5C" w:rsidRDefault="00791DD6" w:rsidP="00B37E5C"/>
    <w:p w14:paraId="7C6EBECC" w14:textId="77777777" w:rsidR="00B37E5C" w:rsidRPr="00D22697" w:rsidRDefault="00B37E5C" w:rsidP="008471E7">
      <w:pPr>
        <w:rPr>
          <w:b/>
        </w:rPr>
      </w:pPr>
    </w:p>
    <w:sectPr w:rsidR="00B37E5C" w:rsidRPr="00D22697">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D5B73C" w16cex:dateUtc="2024-11-06T00:37:00Z"/>
  <w16cex:commentExtensible w16cex:durableId="2AD4D69E" w16cex:dateUtc="2024-11-05T08: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85DED" w14:textId="77777777" w:rsidR="00E85302" w:rsidRDefault="00E85302" w:rsidP="00BE2902">
      <w:pPr>
        <w:spacing w:after="0" w:line="240" w:lineRule="auto"/>
      </w:pPr>
      <w:r>
        <w:separator/>
      </w:r>
    </w:p>
  </w:endnote>
  <w:endnote w:type="continuationSeparator" w:id="0">
    <w:p w14:paraId="2435E695" w14:textId="77777777" w:rsidR="00E85302" w:rsidRDefault="00E85302" w:rsidP="00BE29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A912EC" w14:textId="77777777" w:rsidR="00E85302" w:rsidRDefault="00E85302" w:rsidP="00BE2902">
      <w:pPr>
        <w:spacing w:after="0" w:line="240" w:lineRule="auto"/>
      </w:pPr>
      <w:r>
        <w:separator/>
      </w:r>
    </w:p>
  </w:footnote>
  <w:footnote w:type="continuationSeparator" w:id="0">
    <w:p w14:paraId="3DDF8A4E" w14:textId="77777777" w:rsidR="00E85302" w:rsidRDefault="00E85302" w:rsidP="00BE29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4A28C5"/>
    <w:multiLevelType w:val="hybridMultilevel"/>
    <w:tmpl w:val="B3904FA2"/>
    <w:lvl w:ilvl="0" w:tplc="3DFEC0E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76039BD"/>
    <w:multiLevelType w:val="hybridMultilevel"/>
    <w:tmpl w:val="972256C8"/>
    <w:lvl w:ilvl="0" w:tplc="0D561CFC">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105E5B"/>
    <w:multiLevelType w:val="multilevel"/>
    <w:tmpl w:val="32105E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7" w15:restartNumberingAfterBreak="0">
    <w:nsid w:val="36B61ED3"/>
    <w:multiLevelType w:val="hybridMultilevel"/>
    <w:tmpl w:val="23EC8F58"/>
    <w:lvl w:ilvl="0" w:tplc="0486E928">
      <w:start w:val="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D66014"/>
    <w:multiLevelType w:val="hybridMultilevel"/>
    <w:tmpl w:val="4F3C3C20"/>
    <w:lvl w:ilvl="0" w:tplc="69F8C0DA">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534DC6"/>
    <w:multiLevelType w:val="hybridMultilevel"/>
    <w:tmpl w:val="4120DDCE"/>
    <w:lvl w:ilvl="0" w:tplc="6B4A682E">
      <w:start w:val="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08447F"/>
    <w:multiLevelType w:val="hybridMultilevel"/>
    <w:tmpl w:val="3D70843A"/>
    <w:lvl w:ilvl="0" w:tplc="888CC356">
      <w:numFmt w:val="bullet"/>
      <w:lvlText w:val="-"/>
      <w:lvlJc w:val="left"/>
      <w:pPr>
        <w:ind w:left="760" w:hanging="360"/>
      </w:pPr>
      <w:rPr>
        <w:rFonts w:ascii="Calibri" w:eastAsiaTheme="minorEastAsia" w:hAnsi="Calibri"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1B542CC"/>
    <w:multiLevelType w:val="multilevel"/>
    <w:tmpl w:val="B2248782"/>
    <w:lvl w:ilvl="0">
      <w:start w:val="1"/>
      <w:numFmt w:val="bullet"/>
      <w:lvlText w:val="-"/>
      <w:lvlJc w:val="left"/>
      <w:pPr>
        <w:ind w:left="360" w:hanging="360"/>
      </w:pPr>
      <w:rPr>
        <w:rFonts w:ascii="Calibri" w:eastAsia="Malgun Gothic" w:hAnsi="Calibri" w:cs="Calibri" w:hint="default"/>
      </w:rPr>
    </w:lvl>
    <w:lvl w:ilvl="1">
      <w:start w:val="1"/>
      <w:numFmt w:val="bullet"/>
      <w:lvlText w:val="-"/>
      <w:lvlJc w:val="left"/>
      <w:pPr>
        <w:ind w:left="792" w:hanging="432"/>
      </w:pPr>
      <w:rPr>
        <w:rFonts w:ascii="Calibri" w:eastAsia="Malgun Gothic" w:hAnsi="Calibri" w:cs="Calibri"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3D84ACF"/>
    <w:multiLevelType w:val="hybridMultilevel"/>
    <w:tmpl w:val="7A8609A8"/>
    <w:lvl w:ilvl="0" w:tplc="0D561CFC">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D3510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2970FA8"/>
    <w:multiLevelType w:val="hybridMultilevel"/>
    <w:tmpl w:val="657EF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D55BD5"/>
    <w:multiLevelType w:val="multilevel"/>
    <w:tmpl w:val="62D55BD5"/>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2FB7FC2"/>
    <w:multiLevelType w:val="hybridMultilevel"/>
    <w:tmpl w:val="85942008"/>
    <w:lvl w:ilvl="0" w:tplc="6596A7D0">
      <w:numFmt w:val="bullet"/>
      <w:lvlText w:val="-"/>
      <w:lvlJc w:val="left"/>
      <w:pPr>
        <w:ind w:left="760" w:hanging="360"/>
      </w:pPr>
      <w:rPr>
        <w:rFonts w:ascii="Calibri" w:eastAsiaTheme="minorEastAsia"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5250AA9"/>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6300866"/>
    <w:multiLevelType w:val="hybridMultilevel"/>
    <w:tmpl w:val="8ED64C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5A62CA"/>
    <w:multiLevelType w:val="hybridMultilevel"/>
    <w:tmpl w:val="A4A627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2670E7"/>
    <w:multiLevelType w:val="multilevel"/>
    <w:tmpl w:val="6E2670E7"/>
    <w:lvl w:ilvl="0">
      <w:start w:val="2"/>
      <w:numFmt w:val="bullet"/>
      <w:lvlText w:val="-"/>
      <w:lvlJc w:val="left"/>
      <w:pPr>
        <w:ind w:left="360" w:hanging="360"/>
      </w:pPr>
      <w:rPr>
        <w:rFonts w:ascii="Arial" w:eastAsia="SimSu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41B083D"/>
    <w:multiLevelType w:val="hybridMultilevel"/>
    <w:tmpl w:val="DBC0FBD2"/>
    <w:lvl w:ilvl="0" w:tplc="69F8C0DA">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5" w15:restartNumberingAfterBreak="0">
    <w:nsid w:val="77816263"/>
    <w:multiLevelType w:val="hybridMultilevel"/>
    <w:tmpl w:val="E19E0630"/>
    <w:lvl w:ilvl="0" w:tplc="B7560922">
      <w:start w:val="1"/>
      <w:numFmt w:val="bullet"/>
      <w:lvlText w:val="-"/>
      <w:lvlJc w:val="left"/>
      <w:pPr>
        <w:ind w:left="413" w:hanging="360"/>
      </w:pPr>
      <w:rPr>
        <w:rFonts w:ascii="Calibri" w:eastAsiaTheme="minorEastAsia" w:hAnsi="Calibri" w:cs="Calibri" w:hint="default"/>
      </w:rPr>
    </w:lvl>
    <w:lvl w:ilvl="1" w:tplc="04090003" w:tentative="1">
      <w:start w:val="1"/>
      <w:numFmt w:val="bullet"/>
      <w:lvlText w:val="o"/>
      <w:lvlJc w:val="left"/>
      <w:pPr>
        <w:ind w:left="1133" w:hanging="360"/>
      </w:pPr>
      <w:rPr>
        <w:rFonts w:ascii="Courier New" w:hAnsi="Courier New" w:cs="Courier New" w:hint="default"/>
      </w:rPr>
    </w:lvl>
    <w:lvl w:ilvl="2" w:tplc="04090005" w:tentative="1">
      <w:start w:val="1"/>
      <w:numFmt w:val="bullet"/>
      <w:lvlText w:val=""/>
      <w:lvlJc w:val="left"/>
      <w:pPr>
        <w:ind w:left="1853" w:hanging="360"/>
      </w:pPr>
      <w:rPr>
        <w:rFonts w:ascii="Wingdings" w:hAnsi="Wingdings" w:hint="default"/>
      </w:rPr>
    </w:lvl>
    <w:lvl w:ilvl="3" w:tplc="04090001" w:tentative="1">
      <w:start w:val="1"/>
      <w:numFmt w:val="bullet"/>
      <w:lvlText w:val=""/>
      <w:lvlJc w:val="left"/>
      <w:pPr>
        <w:ind w:left="2573" w:hanging="360"/>
      </w:pPr>
      <w:rPr>
        <w:rFonts w:ascii="Symbol" w:hAnsi="Symbol" w:hint="default"/>
      </w:rPr>
    </w:lvl>
    <w:lvl w:ilvl="4" w:tplc="04090003" w:tentative="1">
      <w:start w:val="1"/>
      <w:numFmt w:val="bullet"/>
      <w:lvlText w:val="o"/>
      <w:lvlJc w:val="left"/>
      <w:pPr>
        <w:ind w:left="3293" w:hanging="360"/>
      </w:pPr>
      <w:rPr>
        <w:rFonts w:ascii="Courier New" w:hAnsi="Courier New" w:cs="Courier New" w:hint="default"/>
      </w:rPr>
    </w:lvl>
    <w:lvl w:ilvl="5" w:tplc="04090005" w:tentative="1">
      <w:start w:val="1"/>
      <w:numFmt w:val="bullet"/>
      <w:lvlText w:val=""/>
      <w:lvlJc w:val="left"/>
      <w:pPr>
        <w:ind w:left="4013" w:hanging="360"/>
      </w:pPr>
      <w:rPr>
        <w:rFonts w:ascii="Wingdings" w:hAnsi="Wingdings" w:hint="default"/>
      </w:rPr>
    </w:lvl>
    <w:lvl w:ilvl="6" w:tplc="04090001" w:tentative="1">
      <w:start w:val="1"/>
      <w:numFmt w:val="bullet"/>
      <w:lvlText w:val=""/>
      <w:lvlJc w:val="left"/>
      <w:pPr>
        <w:ind w:left="4733" w:hanging="360"/>
      </w:pPr>
      <w:rPr>
        <w:rFonts w:ascii="Symbol" w:hAnsi="Symbol" w:hint="default"/>
      </w:rPr>
    </w:lvl>
    <w:lvl w:ilvl="7" w:tplc="04090003" w:tentative="1">
      <w:start w:val="1"/>
      <w:numFmt w:val="bullet"/>
      <w:lvlText w:val="o"/>
      <w:lvlJc w:val="left"/>
      <w:pPr>
        <w:ind w:left="5453" w:hanging="360"/>
      </w:pPr>
      <w:rPr>
        <w:rFonts w:ascii="Courier New" w:hAnsi="Courier New" w:cs="Courier New" w:hint="default"/>
      </w:rPr>
    </w:lvl>
    <w:lvl w:ilvl="8" w:tplc="04090005" w:tentative="1">
      <w:start w:val="1"/>
      <w:numFmt w:val="bullet"/>
      <w:lvlText w:val=""/>
      <w:lvlJc w:val="left"/>
      <w:pPr>
        <w:ind w:left="6173" w:hanging="360"/>
      </w:pPr>
      <w:rPr>
        <w:rFonts w:ascii="Wingdings" w:hAnsi="Wingdings" w:hint="default"/>
      </w:rPr>
    </w:lvl>
  </w:abstractNum>
  <w:abstractNum w:abstractNumId="26" w15:restartNumberingAfterBreak="0">
    <w:nsid w:val="7D6F685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DC42C86"/>
    <w:multiLevelType w:val="hybridMultilevel"/>
    <w:tmpl w:val="38243E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0D1B32"/>
    <w:multiLevelType w:val="hybridMultilevel"/>
    <w:tmpl w:val="3CB2F752"/>
    <w:lvl w:ilvl="0" w:tplc="0764DFBA">
      <w:start w:val="1"/>
      <w:numFmt w:val="decimal"/>
      <w:lvlText w:val="[%1]"/>
      <w:lvlJc w:val="left"/>
      <w:pPr>
        <w:ind w:left="720" w:hanging="360"/>
      </w:pPr>
      <w:rPr>
        <w:sz w:val="21"/>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25"/>
  </w:num>
  <w:num w:numId="5">
    <w:abstractNumId w:val="20"/>
  </w:num>
  <w:num w:numId="6">
    <w:abstractNumId w:val="21"/>
  </w:num>
  <w:num w:numId="7">
    <w:abstractNumId w:val="12"/>
  </w:num>
  <w:num w:numId="8">
    <w:abstractNumId w:val="18"/>
  </w:num>
  <w:num w:numId="9">
    <w:abstractNumId w:val="16"/>
  </w:num>
  <w:num w:numId="10">
    <w:abstractNumId w:val="4"/>
  </w:num>
  <w:num w:numId="11">
    <w:abstractNumId w:val="28"/>
  </w:num>
  <w:num w:numId="12">
    <w:abstractNumId w:val="15"/>
  </w:num>
  <w:num w:numId="13">
    <w:abstractNumId w:val="19"/>
  </w:num>
  <w:num w:numId="14">
    <w:abstractNumId w:val="13"/>
  </w:num>
  <w:num w:numId="15">
    <w:abstractNumId w:val="24"/>
  </w:num>
  <w:num w:numId="16">
    <w:abstractNumId w:val="0"/>
  </w:num>
  <w:num w:numId="17">
    <w:abstractNumId w:val="23"/>
  </w:num>
  <w:num w:numId="18">
    <w:abstractNumId w:val="8"/>
  </w:num>
  <w:num w:numId="19">
    <w:abstractNumId w:val="17"/>
  </w:num>
  <w:num w:numId="20">
    <w:abstractNumId w:val="1"/>
  </w:num>
  <w:num w:numId="21">
    <w:abstractNumId w:val="22"/>
  </w:num>
  <w:num w:numId="22">
    <w:abstractNumId w:val="2"/>
  </w:num>
  <w:num w:numId="23">
    <w:abstractNumId w:val="3"/>
  </w:num>
  <w:num w:numId="24">
    <w:abstractNumId w:val="6"/>
  </w:num>
  <w:num w:numId="25">
    <w:abstractNumId w:val="2"/>
  </w:num>
  <w:num w:numId="26">
    <w:abstractNumId w:val="5"/>
  </w:num>
  <w:num w:numId="27">
    <w:abstractNumId w:val="9"/>
  </w:num>
  <w:num w:numId="28">
    <w:abstractNumId w:val="14"/>
  </w:num>
  <w:num w:numId="29">
    <w:abstractNumId w:val="7"/>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0D0"/>
    <w:rsid w:val="000067A7"/>
    <w:rsid w:val="0000785D"/>
    <w:rsid w:val="00007D94"/>
    <w:rsid w:val="00011AFD"/>
    <w:rsid w:val="00022C8F"/>
    <w:rsid w:val="00051618"/>
    <w:rsid w:val="000523BA"/>
    <w:rsid w:val="00062BEE"/>
    <w:rsid w:val="000716A0"/>
    <w:rsid w:val="00071AED"/>
    <w:rsid w:val="00082DFB"/>
    <w:rsid w:val="00094B57"/>
    <w:rsid w:val="00096F99"/>
    <w:rsid w:val="000979A8"/>
    <w:rsid w:val="000A374F"/>
    <w:rsid w:val="000A6CCA"/>
    <w:rsid w:val="000B7C28"/>
    <w:rsid w:val="000C68C9"/>
    <w:rsid w:val="000D25B7"/>
    <w:rsid w:val="000F4A0F"/>
    <w:rsid w:val="00111B7A"/>
    <w:rsid w:val="00116075"/>
    <w:rsid w:val="001168A4"/>
    <w:rsid w:val="00117281"/>
    <w:rsid w:val="00121757"/>
    <w:rsid w:val="001308ED"/>
    <w:rsid w:val="00134842"/>
    <w:rsid w:val="00144093"/>
    <w:rsid w:val="001514D1"/>
    <w:rsid w:val="0015154E"/>
    <w:rsid w:val="00162CD9"/>
    <w:rsid w:val="001A06D2"/>
    <w:rsid w:val="001A382D"/>
    <w:rsid w:val="001A7543"/>
    <w:rsid w:val="001B046C"/>
    <w:rsid w:val="001B13A2"/>
    <w:rsid w:val="001C2E57"/>
    <w:rsid w:val="001C447D"/>
    <w:rsid w:val="001F298A"/>
    <w:rsid w:val="001F3611"/>
    <w:rsid w:val="00204FE8"/>
    <w:rsid w:val="00240F81"/>
    <w:rsid w:val="002627C9"/>
    <w:rsid w:val="00276221"/>
    <w:rsid w:val="0027684B"/>
    <w:rsid w:val="002770E2"/>
    <w:rsid w:val="00286196"/>
    <w:rsid w:val="00295005"/>
    <w:rsid w:val="00297818"/>
    <w:rsid w:val="00297DBD"/>
    <w:rsid w:val="002A39AF"/>
    <w:rsid w:val="002A62C5"/>
    <w:rsid w:val="00307E06"/>
    <w:rsid w:val="00310D6D"/>
    <w:rsid w:val="00331FDE"/>
    <w:rsid w:val="00342BA0"/>
    <w:rsid w:val="00351E18"/>
    <w:rsid w:val="00363551"/>
    <w:rsid w:val="0037587B"/>
    <w:rsid w:val="0038399E"/>
    <w:rsid w:val="00383CF9"/>
    <w:rsid w:val="003A7A2A"/>
    <w:rsid w:val="003B2DC3"/>
    <w:rsid w:val="003C20C6"/>
    <w:rsid w:val="003C2E7A"/>
    <w:rsid w:val="003D4356"/>
    <w:rsid w:val="003D699E"/>
    <w:rsid w:val="003E5779"/>
    <w:rsid w:val="003F3D21"/>
    <w:rsid w:val="00416A4C"/>
    <w:rsid w:val="004338B9"/>
    <w:rsid w:val="004339A9"/>
    <w:rsid w:val="00436777"/>
    <w:rsid w:val="004458A8"/>
    <w:rsid w:val="00457A99"/>
    <w:rsid w:val="00463196"/>
    <w:rsid w:val="00465922"/>
    <w:rsid w:val="00466233"/>
    <w:rsid w:val="00472ECC"/>
    <w:rsid w:val="004917AC"/>
    <w:rsid w:val="00494DBA"/>
    <w:rsid w:val="004A4CD6"/>
    <w:rsid w:val="004A5037"/>
    <w:rsid w:val="004C60D1"/>
    <w:rsid w:val="004C6C84"/>
    <w:rsid w:val="004D2EEF"/>
    <w:rsid w:val="004E3EF3"/>
    <w:rsid w:val="004F118B"/>
    <w:rsid w:val="004F4D0F"/>
    <w:rsid w:val="004F7BF7"/>
    <w:rsid w:val="00503431"/>
    <w:rsid w:val="005438E7"/>
    <w:rsid w:val="005473EF"/>
    <w:rsid w:val="0056446B"/>
    <w:rsid w:val="005660DC"/>
    <w:rsid w:val="00574AC2"/>
    <w:rsid w:val="0059751D"/>
    <w:rsid w:val="005A4671"/>
    <w:rsid w:val="005B7FB4"/>
    <w:rsid w:val="005C012F"/>
    <w:rsid w:val="005D2539"/>
    <w:rsid w:val="005F31AF"/>
    <w:rsid w:val="005F7BDE"/>
    <w:rsid w:val="00601BF6"/>
    <w:rsid w:val="00604903"/>
    <w:rsid w:val="006111E0"/>
    <w:rsid w:val="00627001"/>
    <w:rsid w:val="00641E68"/>
    <w:rsid w:val="00644617"/>
    <w:rsid w:val="0066219E"/>
    <w:rsid w:val="006625CA"/>
    <w:rsid w:val="00662CE2"/>
    <w:rsid w:val="006669D7"/>
    <w:rsid w:val="006867EE"/>
    <w:rsid w:val="006877B6"/>
    <w:rsid w:val="006A0451"/>
    <w:rsid w:val="006A1A6C"/>
    <w:rsid w:val="006B61AA"/>
    <w:rsid w:val="006C6134"/>
    <w:rsid w:val="006C72E5"/>
    <w:rsid w:val="006E30FA"/>
    <w:rsid w:val="006F4968"/>
    <w:rsid w:val="006F7E06"/>
    <w:rsid w:val="00715875"/>
    <w:rsid w:val="0072156D"/>
    <w:rsid w:val="007227D9"/>
    <w:rsid w:val="0073084F"/>
    <w:rsid w:val="00741339"/>
    <w:rsid w:val="00750043"/>
    <w:rsid w:val="00750FF8"/>
    <w:rsid w:val="00757416"/>
    <w:rsid w:val="007606D1"/>
    <w:rsid w:val="007738F9"/>
    <w:rsid w:val="0077598E"/>
    <w:rsid w:val="00791DD6"/>
    <w:rsid w:val="007A0492"/>
    <w:rsid w:val="007B5BB5"/>
    <w:rsid w:val="007D0A79"/>
    <w:rsid w:val="007D0FA9"/>
    <w:rsid w:val="007F0818"/>
    <w:rsid w:val="00804AF5"/>
    <w:rsid w:val="008050D0"/>
    <w:rsid w:val="00824123"/>
    <w:rsid w:val="0082420D"/>
    <w:rsid w:val="008329F6"/>
    <w:rsid w:val="008436E3"/>
    <w:rsid w:val="008471E7"/>
    <w:rsid w:val="008538E1"/>
    <w:rsid w:val="00875512"/>
    <w:rsid w:val="008A5CBB"/>
    <w:rsid w:val="008A7A0C"/>
    <w:rsid w:val="008D67B2"/>
    <w:rsid w:val="008E2290"/>
    <w:rsid w:val="008E42E9"/>
    <w:rsid w:val="008F5E74"/>
    <w:rsid w:val="00913A78"/>
    <w:rsid w:val="0093006E"/>
    <w:rsid w:val="009509B9"/>
    <w:rsid w:val="00953ED8"/>
    <w:rsid w:val="009602EA"/>
    <w:rsid w:val="009A694D"/>
    <w:rsid w:val="009A7751"/>
    <w:rsid w:val="009C17DE"/>
    <w:rsid w:val="009D5A46"/>
    <w:rsid w:val="009E5E58"/>
    <w:rsid w:val="009F40AD"/>
    <w:rsid w:val="00A01B2D"/>
    <w:rsid w:val="00A2447C"/>
    <w:rsid w:val="00A27044"/>
    <w:rsid w:val="00A4499C"/>
    <w:rsid w:val="00A92D60"/>
    <w:rsid w:val="00A97983"/>
    <w:rsid w:val="00AA05E0"/>
    <w:rsid w:val="00AC6C10"/>
    <w:rsid w:val="00AE3AD8"/>
    <w:rsid w:val="00AF5E42"/>
    <w:rsid w:val="00B074BF"/>
    <w:rsid w:val="00B355A8"/>
    <w:rsid w:val="00B37E5C"/>
    <w:rsid w:val="00B77286"/>
    <w:rsid w:val="00BB2764"/>
    <w:rsid w:val="00BB4622"/>
    <w:rsid w:val="00BB5F90"/>
    <w:rsid w:val="00BB742B"/>
    <w:rsid w:val="00BC160C"/>
    <w:rsid w:val="00BC5F71"/>
    <w:rsid w:val="00BD573A"/>
    <w:rsid w:val="00BE26CD"/>
    <w:rsid w:val="00BE2902"/>
    <w:rsid w:val="00C13A61"/>
    <w:rsid w:val="00C22EF1"/>
    <w:rsid w:val="00C26A9C"/>
    <w:rsid w:val="00C53B51"/>
    <w:rsid w:val="00C53E05"/>
    <w:rsid w:val="00C96A03"/>
    <w:rsid w:val="00C973F2"/>
    <w:rsid w:val="00CB4454"/>
    <w:rsid w:val="00CC6859"/>
    <w:rsid w:val="00D15FBA"/>
    <w:rsid w:val="00D20197"/>
    <w:rsid w:val="00D22697"/>
    <w:rsid w:val="00D6080F"/>
    <w:rsid w:val="00D6157F"/>
    <w:rsid w:val="00D61945"/>
    <w:rsid w:val="00D65A04"/>
    <w:rsid w:val="00D75241"/>
    <w:rsid w:val="00D82DC6"/>
    <w:rsid w:val="00D97301"/>
    <w:rsid w:val="00D976B0"/>
    <w:rsid w:val="00DA5825"/>
    <w:rsid w:val="00DB10FE"/>
    <w:rsid w:val="00DB33C6"/>
    <w:rsid w:val="00DB6FF0"/>
    <w:rsid w:val="00DC1C11"/>
    <w:rsid w:val="00DC3AB4"/>
    <w:rsid w:val="00DC6E03"/>
    <w:rsid w:val="00DF201B"/>
    <w:rsid w:val="00DF529A"/>
    <w:rsid w:val="00E04B00"/>
    <w:rsid w:val="00E07E8C"/>
    <w:rsid w:val="00E345D7"/>
    <w:rsid w:val="00E378D0"/>
    <w:rsid w:val="00E5658C"/>
    <w:rsid w:val="00E85302"/>
    <w:rsid w:val="00EB025C"/>
    <w:rsid w:val="00EB6F6F"/>
    <w:rsid w:val="00ED0173"/>
    <w:rsid w:val="00EF297B"/>
    <w:rsid w:val="00F00427"/>
    <w:rsid w:val="00F06C9C"/>
    <w:rsid w:val="00F13B89"/>
    <w:rsid w:val="00F16573"/>
    <w:rsid w:val="00F546B7"/>
    <w:rsid w:val="00F550C6"/>
    <w:rsid w:val="00F613AE"/>
    <w:rsid w:val="00F70266"/>
    <w:rsid w:val="00F87BCE"/>
    <w:rsid w:val="00FE0A2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53EAF6"/>
  <w15:chartTrackingRefBased/>
  <w15:docId w15:val="{651C9DA4-5FCC-42A0-8004-244EFDB5F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F40A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列出段落"/>
    <w:basedOn w:val="Normal"/>
    <w:link w:val="ListParagraphChar"/>
    <w:uiPriority w:val="34"/>
    <w:qFormat/>
    <w:rsid w:val="008050D0"/>
    <w:pPr>
      <w:ind w:left="720"/>
      <w:contextualSpacing/>
    </w:pPr>
  </w:style>
  <w:style w:type="character" w:customStyle="1" w:styleId="Heading1Char">
    <w:name w:val="Heading 1 Char"/>
    <w:basedOn w:val="DefaultParagraphFont"/>
    <w:link w:val="Heading1"/>
    <w:uiPriority w:val="9"/>
    <w:rsid w:val="009F40AD"/>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basedOn w:val="DefaultParagraphFont"/>
    <w:link w:val="ListParagraph"/>
    <w:uiPriority w:val="34"/>
    <w:qFormat/>
    <w:locked/>
    <w:rsid w:val="009F40AD"/>
  </w:style>
  <w:style w:type="paragraph" w:styleId="Caption">
    <w:name w:val="caption"/>
    <w:basedOn w:val="Normal"/>
    <w:next w:val="Normal"/>
    <w:link w:val="CaptionChar"/>
    <w:qFormat/>
    <w:rsid w:val="00C96A03"/>
    <w:pPr>
      <w:spacing w:before="120"/>
    </w:pPr>
    <w:rPr>
      <w:b/>
      <w:lang w:eastAsia="en-GB"/>
    </w:rPr>
  </w:style>
  <w:style w:type="character" w:customStyle="1" w:styleId="CaptionChar">
    <w:name w:val="Caption Char"/>
    <w:link w:val="Caption"/>
    <w:qFormat/>
    <w:rsid w:val="00C96A03"/>
    <w:rPr>
      <w:b/>
      <w:lang w:eastAsia="en-GB"/>
    </w:rPr>
  </w:style>
  <w:style w:type="table" w:styleId="TableGrid">
    <w:name w:val="Table Grid"/>
    <w:basedOn w:val="TableNormal"/>
    <w:uiPriority w:val="39"/>
    <w:rsid w:val="00071A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494DBA"/>
    <w:rPr>
      <w:rFonts w:ascii="Arial" w:eastAsia="MS Mincho" w:hAnsi="Arial" w:cs="Arial"/>
      <w:szCs w:val="24"/>
    </w:rPr>
  </w:style>
  <w:style w:type="paragraph" w:customStyle="1" w:styleId="Doc-text2">
    <w:name w:val="Doc-text2"/>
    <w:basedOn w:val="Normal"/>
    <w:link w:val="Doc-text2Char"/>
    <w:qFormat/>
    <w:rsid w:val="00494DBA"/>
    <w:pPr>
      <w:tabs>
        <w:tab w:val="left" w:pos="1622"/>
      </w:tabs>
      <w:spacing w:after="0" w:line="240" w:lineRule="auto"/>
      <w:ind w:left="1622" w:hanging="363"/>
    </w:pPr>
    <w:rPr>
      <w:rFonts w:ascii="Arial" w:eastAsia="MS Mincho" w:hAnsi="Arial" w:cs="Arial"/>
      <w:szCs w:val="24"/>
    </w:rPr>
  </w:style>
  <w:style w:type="paragraph" w:styleId="Header">
    <w:name w:val="header"/>
    <w:aliases w:val="header odd"/>
    <w:link w:val="HeaderChar"/>
    <w:rsid w:val="00C13A6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
    <w:basedOn w:val="DefaultParagraphFont"/>
    <w:link w:val="Header"/>
    <w:rsid w:val="00C13A61"/>
    <w:rPr>
      <w:rFonts w:ascii="Arial" w:eastAsia="SimSun" w:hAnsi="Arial" w:cs="Times New Roman"/>
      <w:b/>
      <w:noProof/>
      <w:sz w:val="18"/>
      <w:szCs w:val="20"/>
      <w:lang w:val="en-GB" w:eastAsia="ja-JP"/>
    </w:rPr>
  </w:style>
  <w:style w:type="paragraph" w:customStyle="1" w:styleId="CRCoverPage">
    <w:name w:val="CR Cover Page"/>
    <w:rsid w:val="00C13A61"/>
    <w:pPr>
      <w:spacing w:after="120" w:line="240" w:lineRule="auto"/>
    </w:pPr>
    <w:rPr>
      <w:rFonts w:ascii="Arial" w:eastAsia="MS Mincho" w:hAnsi="Arial" w:cs="Times New Roman"/>
      <w:sz w:val="20"/>
      <w:szCs w:val="20"/>
      <w:lang w:val="en-GB" w:eastAsia="en-US"/>
    </w:rPr>
  </w:style>
  <w:style w:type="character" w:styleId="Hyperlink">
    <w:name w:val="Hyperlink"/>
    <w:rsid w:val="00240F81"/>
    <w:rPr>
      <w:color w:val="0563C1"/>
      <w:u w:val="single"/>
    </w:rPr>
  </w:style>
  <w:style w:type="paragraph" w:customStyle="1" w:styleId="Default">
    <w:name w:val="Default"/>
    <w:rsid w:val="001514D1"/>
    <w:pPr>
      <w:autoSpaceDE w:val="0"/>
      <w:autoSpaceDN w:val="0"/>
      <w:adjustRightInd w:val="0"/>
      <w:spacing w:after="0" w:line="240" w:lineRule="auto"/>
    </w:pPr>
    <w:rPr>
      <w:rFonts w:ascii="Arial" w:hAnsi="Arial" w:cs="Arial"/>
      <w:color w:val="000000"/>
      <w:sz w:val="24"/>
      <w:szCs w:val="24"/>
    </w:rPr>
  </w:style>
  <w:style w:type="paragraph" w:styleId="Footer">
    <w:name w:val="footer"/>
    <w:basedOn w:val="Normal"/>
    <w:link w:val="FooterChar"/>
    <w:uiPriority w:val="99"/>
    <w:unhideWhenUsed/>
    <w:rsid w:val="00BE2902"/>
    <w:pPr>
      <w:tabs>
        <w:tab w:val="center" w:pos="4513"/>
        <w:tab w:val="right" w:pos="9026"/>
      </w:tabs>
      <w:snapToGrid w:val="0"/>
    </w:pPr>
  </w:style>
  <w:style w:type="character" w:customStyle="1" w:styleId="FooterChar">
    <w:name w:val="Footer Char"/>
    <w:basedOn w:val="DefaultParagraphFont"/>
    <w:link w:val="Footer"/>
    <w:uiPriority w:val="99"/>
    <w:rsid w:val="00BE2902"/>
  </w:style>
  <w:style w:type="character" w:styleId="CommentReference">
    <w:name w:val="annotation reference"/>
    <w:basedOn w:val="DefaultParagraphFont"/>
    <w:uiPriority w:val="99"/>
    <w:semiHidden/>
    <w:unhideWhenUsed/>
    <w:rsid w:val="00604903"/>
    <w:rPr>
      <w:sz w:val="18"/>
      <w:szCs w:val="18"/>
    </w:rPr>
  </w:style>
  <w:style w:type="paragraph" w:styleId="CommentText">
    <w:name w:val="annotation text"/>
    <w:basedOn w:val="Normal"/>
    <w:link w:val="CommentTextChar"/>
    <w:uiPriority w:val="99"/>
    <w:unhideWhenUsed/>
    <w:rsid w:val="00604903"/>
  </w:style>
  <w:style w:type="character" w:customStyle="1" w:styleId="CommentTextChar">
    <w:name w:val="Comment Text Char"/>
    <w:basedOn w:val="DefaultParagraphFont"/>
    <w:link w:val="CommentText"/>
    <w:uiPriority w:val="99"/>
    <w:rsid w:val="00604903"/>
  </w:style>
  <w:style w:type="paragraph" w:styleId="CommentSubject">
    <w:name w:val="annotation subject"/>
    <w:basedOn w:val="CommentText"/>
    <w:next w:val="CommentText"/>
    <w:link w:val="CommentSubjectChar"/>
    <w:uiPriority w:val="99"/>
    <w:semiHidden/>
    <w:unhideWhenUsed/>
    <w:rsid w:val="00604903"/>
    <w:rPr>
      <w:b/>
      <w:bCs/>
    </w:rPr>
  </w:style>
  <w:style w:type="character" w:customStyle="1" w:styleId="CommentSubjectChar">
    <w:name w:val="Comment Subject Char"/>
    <w:basedOn w:val="CommentTextChar"/>
    <w:link w:val="CommentSubject"/>
    <w:uiPriority w:val="99"/>
    <w:semiHidden/>
    <w:rsid w:val="00604903"/>
    <w:rPr>
      <w:b/>
      <w:bCs/>
    </w:rPr>
  </w:style>
  <w:style w:type="paragraph" w:styleId="BalloonText">
    <w:name w:val="Balloon Text"/>
    <w:basedOn w:val="Normal"/>
    <w:link w:val="BalloonTextChar"/>
    <w:uiPriority w:val="99"/>
    <w:semiHidden/>
    <w:unhideWhenUsed/>
    <w:rsid w:val="004917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17AC"/>
    <w:rPr>
      <w:rFonts w:ascii="Segoe UI" w:hAnsi="Segoe UI" w:cs="Segoe UI"/>
      <w:sz w:val="18"/>
      <w:szCs w:val="18"/>
    </w:rPr>
  </w:style>
  <w:style w:type="paragraph" w:customStyle="1" w:styleId="Agreement">
    <w:name w:val="Agreement"/>
    <w:basedOn w:val="Normal"/>
    <w:next w:val="Doc-text2"/>
    <w:uiPriority w:val="99"/>
    <w:qFormat/>
    <w:rsid w:val="002A62C5"/>
    <w:pPr>
      <w:numPr>
        <w:numId w:val="21"/>
      </w:numPr>
      <w:spacing w:before="60" w:after="0" w:line="240" w:lineRule="auto"/>
    </w:pPr>
    <w:rPr>
      <w:rFonts w:ascii="Arial" w:eastAsia="MS Mincho" w:hAnsi="Arial" w:cs="Times New Roman"/>
      <w:b/>
      <w:sz w:val="20"/>
      <w:szCs w:val="24"/>
      <w:lang w:val="en-GB" w:eastAsia="en-GB"/>
    </w:rPr>
  </w:style>
  <w:style w:type="paragraph" w:styleId="NormalWeb">
    <w:name w:val="Normal (Web)"/>
    <w:basedOn w:val="Normal"/>
    <w:uiPriority w:val="99"/>
    <w:qFormat/>
    <w:rsid w:val="001168A4"/>
    <w:pPr>
      <w:spacing w:before="100" w:beforeAutospacing="1" w:after="100" w:afterAutospacing="1" w:line="240" w:lineRule="auto"/>
    </w:pPr>
    <w:rPr>
      <w:rFonts w:ascii="Arial" w:eastAsia="SimSun" w:hAnsi="Arial" w:cs="Arial"/>
      <w:color w:val="493118"/>
      <w:sz w:val="18"/>
      <w:szCs w:val="18"/>
      <w:lang w:eastAsia="zh-CN"/>
    </w:rPr>
  </w:style>
  <w:style w:type="character" w:customStyle="1" w:styleId="B1Zchn">
    <w:name w:val="B1 Zchn"/>
    <w:basedOn w:val="DefaultParagraphFont"/>
    <w:link w:val="B1"/>
    <w:locked/>
    <w:rsid w:val="004F118B"/>
    <w:rPr>
      <w:rFonts w:ascii="Malgun Gothic" w:eastAsia="Malgun Gothic" w:hAnsi="Malgun Gothic"/>
    </w:rPr>
  </w:style>
  <w:style w:type="paragraph" w:customStyle="1" w:styleId="B1">
    <w:name w:val="B1"/>
    <w:basedOn w:val="Normal"/>
    <w:link w:val="B1Zchn"/>
    <w:rsid w:val="004F118B"/>
    <w:pPr>
      <w:spacing w:after="180" w:line="240" w:lineRule="auto"/>
      <w:ind w:left="568" w:hanging="284"/>
    </w:pPr>
    <w:rPr>
      <w:rFonts w:ascii="Malgun Gothic" w:eastAsia="Malgun Gothic" w:hAnsi="Malgun Gothic"/>
    </w:rPr>
  </w:style>
  <w:style w:type="character" w:customStyle="1" w:styleId="B3Char">
    <w:name w:val="B3 Char"/>
    <w:basedOn w:val="DefaultParagraphFont"/>
    <w:link w:val="B3"/>
    <w:locked/>
    <w:rsid w:val="004F118B"/>
    <w:rPr>
      <w:lang w:eastAsia="en-US"/>
    </w:rPr>
  </w:style>
  <w:style w:type="paragraph" w:customStyle="1" w:styleId="B3">
    <w:name w:val="B3"/>
    <w:basedOn w:val="Normal"/>
    <w:link w:val="B3Char"/>
    <w:rsid w:val="004F118B"/>
    <w:pPr>
      <w:spacing w:after="180" w:line="240" w:lineRule="auto"/>
      <w:ind w:left="1135" w:hanging="284"/>
    </w:pPr>
    <w:rPr>
      <w:lang w:eastAsia="en-US"/>
    </w:rPr>
  </w:style>
  <w:style w:type="paragraph" w:styleId="Revision">
    <w:name w:val="Revision"/>
    <w:hidden/>
    <w:uiPriority w:val="99"/>
    <w:semiHidden/>
    <w:rsid w:val="00DF529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082346">
      <w:bodyDiv w:val="1"/>
      <w:marLeft w:val="0"/>
      <w:marRight w:val="0"/>
      <w:marTop w:val="0"/>
      <w:marBottom w:val="0"/>
      <w:divBdr>
        <w:top w:val="none" w:sz="0" w:space="0" w:color="auto"/>
        <w:left w:val="none" w:sz="0" w:space="0" w:color="auto"/>
        <w:bottom w:val="none" w:sz="0" w:space="0" w:color="auto"/>
        <w:right w:val="none" w:sz="0" w:space="0" w:color="auto"/>
      </w:divBdr>
    </w:div>
    <w:div w:id="117721528">
      <w:bodyDiv w:val="1"/>
      <w:marLeft w:val="0"/>
      <w:marRight w:val="0"/>
      <w:marTop w:val="0"/>
      <w:marBottom w:val="0"/>
      <w:divBdr>
        <w:top w:val="none" w:sz="0" w:space="0" w:color="auto"/>
        <w:left w:val="none" w:sz="0" w:space="0" w:color="auto"/>
        <w:bottom w:val="none" w:sz="0" w:space="0" w:color="auto"/>
        <w:right w:val="none" w:sz="0" w:space="0" w:color="auto"/>
      </w:divBdr>
    </w:div>
    <w:div w:id="147551926">
      <w:bodyDiv w:val="1"/>
      <w:marLeft w:val="0"/>
      <w:marRight w:val="0"/>
      <w:marTop w:val="0"/>
      <w:marBottom w:val="0"/>
      <w:divBdr>
        <w:top w:val="none" w:sz="0" w:space="0" w:color="auto"/>
        <w:left w:val="none" w:sz="0" w:space="0" w:color="auto"/>
        <w:bottom w:val="none" w:sz="0" w:space="0" w:color="auto"/>
        <w:right w:val="none" w:sz="0" w:space="0" w:color="auto"/>
      </w:divBdr>
    </w:div>
    <w:div w:id="448857233">
      <w:bodyDiv w:val="1"/>
      <w:marLeft w:val="0"/>
      <w:marRight w:val="0"/>
      <w:marTop w:val="0"/>
      <w:marBottom w:val="0"/>
      <w:divBdr>
        <w:top w:val="none" w:sz="0" w:space="0" w:color="auto"/>
        <w:left w:val="none" w:sz="0" w:space="0" w:color="auto"/>
        <w:bottom w:val="none" w:sz="0" w:space="0" w:color="auto"/>
        <w:right w:val="none" w:sz="0" w:space="0" w:color="auto"/>
      </w:divBdr>
    </w:div>
    <w:div w:id="552157316">
      <w:bodyDiv w:val="1"/>
      <w:marLeft w:val="0"/>
      <w:marRight w:val="0"/>
      <w:marTop w:val="0"/>
      <w:marBottom w:val="0"/>
      <w:divBdr>
        <w:top w:val="none" w:sz="0" w:space="0" w:color="auto"/>
        <w:left w:val="none" w:sz="0" w:space="0" w:color="auto"/>
        <w:bottom w:val="none" w:sz="0" w:space="0" w:color="auto"/>
        <w:right w:val="none" w:sz="0" w:space="0" w:color="auto"/>
      </w:divBdr>
    </w:div>
    <w:div w:id="903560826">
      <w:bodyDiv w:val="1"/>
      <w:marLeft w:val="0"/>
      <w:marRight w:val="0"/>
      <w:marTop w:val="0"/>
      <w:marBottom w:val="0"/>
      <w:divBdr>
        <w:top w:val="none" w:sz="0" w:space="0" w:color="auto"/>
        <w:left w:val="none" w:sz="0" w:space="0" w:color="auto"/>
        <w:bottom w:val="none" w:sz="0" w:space="0" w:color="auto"/>
        <w:right w:val="none" w:sz="0" w:space="0" w:color="auto"/>
      </w:divBdr>
    </w:div>
    <w:div w:id="1432816671">
      <w:bodyDiv w:val="1"/>
      <w:marLeft w:val="0"/>
      <w:marRight w:val="0"/>
      <w:marTop w:val="0"/>
      <w:marBottom w:val="0"/>
      <w:divBdr>
        <w:top w:val="none" w:sz="0" w:space="0" w:color="auto"/>
        <w:left w:val="none" w:sz="0" w:space="0" w:color="auto"/>
        <w:bottom w:val="none" w:sz="0" w:space="0" w:color="auto"/>
        <w:right w:val="none" w:sz="0" w:space="0" w:color="auto"/>
      </w:divBdr>
    </w:div>
    <w:div w:id="1453131200">
      <w:bodyDiv w:val="1"/>
      <w:marLeft w:val="0"/>
      <w:marRight w:val="0"/>
      <w:marTop w:val="0"/>
      <w:marBottom w:val="0"/>
      <w:divBdr>
        <w:top w:val="none" w:sz="0" w:space="0" w:color="auto"/>
        <w:left w:val="none" w:sz="0" w:space="0" w:color="auto"/>
        <w:bottom w:val="none" w:sz="0" w:space="0" w:color="auto"/>
        <w:right w:val="none" w:sz="0" w:space="0" w:color="auto"/>
      </w:divBdr>
    </w:div>
    <w:div w:id="1474564421">
      <w:bodyDiv w:val="1"/>
      <w:marLeft w:val="0"/>
      <w:marRight w:val="0"/>
      <w:marTop w:val="0"/>
      <w:marBottom w:val="0"/>
      <w:divBdr>
        <w:top w:val="none" w:sz="0" w:space="0" w:color="auto"/>
        <w:left w:val="none" w:sz="0" w:space="0" w:color="auto"/>
        <w:bottom w:val="none" w:sz="0" w:space="0" w:color="auto"/>
        <w:right w:val="none" w:sz="0" w:space="0" w:color="auto"/>
      </w:divBdr>
    </w:div>
    <w:div w:id="1577279460">
      <w:bodyDiv w:val="1"/>
      <w:marLeft w:val="0"/>
      <w:marRight w:val="0"/>
      <w:marTop w:val="0"/>
      <w:marBottom w:val="0"/>
      <w:divBdr>
        <w:top w:val="none" w:sz="0" w:space="0" w:color="auto"/>
        <w:left w:val="none" w:sz="0" w:space="0" w:color="auto"/>
        <w:bottom w:val="none" w:sz="0" w:space="0" w:color="auto"/>
        <w:right w:val="none" w:sz="0" w:space="0" w:color="auto"/>
      </w:divBdr>
    </w:div>
    <w:div w:id="1958876600">
      <w:bodyDiv w:val="1"/>
      <w:marLeft w:val="0"/>
      <w:marRight w:val="0"/>
      <w:marTop w:val="0"/>
      <w:marBottom w:val="0"/>
      <w:divBdr>
        <w:top w:val="none" w:sz="0" w:space="0" w:color="auto"/>
        <w:left w:val="none" w:sz="0" w:space="0" w:color="auto"/>
        <w:bottom w:val="none" w:sz="0" w:space="0" w:color="auto"/>
        <w:right w:val="none" w:sz="0" w:space="0" w:color="auto"/>
      </w:divBdr>
    </w:div>
    <w:div w:id="213335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188</TotalTime>
  <Pages>5</Pages>
  <Words>1722</Words>
  <Characters>9819</Characters>
  <Application>Microsoft Office Word</Application>
  <DocSecurity>0</DocSecurity>
  <Lines>81</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(Youn)</dc:creator>
  <cp:keywords/>
  <dc:description/>
  <cp:lastModifiedBy>Samsung_yh</cp:lastModifiedBy>
  <cp:revision>10</cp:revision>
  <dcterms:created xsi:type="dcterms:W3CDTF">2024-11-07T23:13:00Z</dcterms:created>
  <dcterms:modified xsi:type="dcterms:W3CDTF">2024-11-08T04:27:00Z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